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403FCE3">
      <w:pPr>
        <w:spacing w:before="9"/>
        <w:rPr>
          <w:rFonts w:ascii="Times New Roman"/>
          <w:sz w:val="4"/>
          <w:szCs w:val="28"/>
        </w:rPr>
      </w:pPr>
      <w:bookmarkStart w:id="51" w:name="_GoBack"/>
      <w:bookmarkEnd w:id="51"/>
      <w:r>
        <w:rPr>
          <w:sz w:val="28"/>
          <w:szCs w:val="28"/>
          <w:lang w:val="en-US" w:bidi="ar-SA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339725</wp:posOffset>
                </wp:positionH>
                <wp:positionV relativeFrom="page">
                  <wp:posOffset>485775</wp:posOffset>
                </wp:positionV>
                <wp:extent cx="215900" cy="9332595"/>
                <wp:effectExtent l="0" t="0" r="12700" b="1905"/>
                <wp:wrapNone/>
                <wp:docPr id="48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9332595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矩形 37" o:spid="_x0000_s1026" o:spt="1" style="position:absolute;left:0pt;margin-left:26.75pt;margin-top:38.25pt;height:734.85pt;width:17pt;mso-position-horizontal-relative:page;mso-position-vertical-relative:page;z-index:-251654144;mso-width-relative:page;mso-height-relative:page;" fillcolor="#C0504D" filled="t" stroked="f" coordsize="21600,21600" o:gfxdata="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+JjGltYAAAAJAQAADwAAAAAAAAABACAAAAAiAAAAZHJzL2Rvd25yZXYueG1sUEsBAhQAFAAAAAgA&#10;h07iQNGdZ/q1AQAAYQMAAA4AAAAAAAAAAQAgAAAAJQEAAGRycy9lMm9Eb2MueG1sUEsFBgAAAAAG&#10;AAYAWQEAAEwFAAAAAA==&#10;">
                <v:fill on="t" focussize="0,0"/>
                <v:stroke on="f"/>
                <v:imagedata o:title=""/>
                <o:lock v:ext="edit" aspectratio="f"/>
              </v:rect>
            </w:pict>
          </mc:Fallback>
        </mc:AlternateContent>
      </w:r>
    </w:p>
    <w:p w14:paraId="5199E7DE">
      <w:pPr>
        <w:ind w:left="1000"/>
        <w:rPr>
          <w:rFonts w:ascii="Times New Roman"/>
          <w:sz w:val="20"/>
          <w:szCs w:val="28"/>
        </w:rPr>
      </w:pPr>
    </w:p>
    <w:p w14:paraId="7D4A86B9">
      <w:pPr>
        <w:spacing w:before="4"/>
        <w:rPr>
          <w:rFonts w:ascii="Times New Roman"/>
          <w:sz w:val="11"/>
          <w:szCs w:val="28"/>
        </w:rPr>
      </w:pPr>
    </w:p>
    <w:p w14:paraId="7969783C">
      <w:pPr>
        <w:rPr>
          <w:rFonts w:ascii="Calibri"/>
          <w:sz w:val="20"/>
          <w:szCs w:val="28"/>
        </w:rPr>
      </w:pPr>
    </w:p>
    <w:p w14:paraId="524D03E3">
      <w:pPr>
        <w:rPr>
          <w:rFonts w:ascii="Calibri"/>
          <w:sz w:val="20"/>
          <w:szCs w:val="28"/>
        </w:rPr>
      </w:pPr>
    </w:p>
    <w:p w14:paraId="0A61DF19">
      <w:pPr>
        <w:rPr>
          <w:rFonts w:ascii="Calibri"/>
          <w:sz w:val="20"/>
          <w:szCs w:val="28"/>
        </w:rPr>
      </w:pPr>
    </w:p>
    <w:p w14:paraId="34ACF236">
      <w:pPr>
        <w:rPr>
          <w:rFonts w:ascii="Calibri"/>
          <w:sz w:val="20"/>
          <w:szCs w:val="28"/>
        </w:rPr>
      </w:pPr>
    </w:p>
    <w:p w14:paraId="28A49A3E">
      <w:pPr>
        <w:rPr>
          <w:rFonts w:ascii="Calibri"/>
          <w:sz w:val="20"/>
          <w:szCs w:val="28"/>
        </w:rPr>
      </w:pPr>
    </w:p>
    <w:p w14:paraId="2D69B8E4">
      <w:pPr>
        <w:rPr>
          <w:rFonts w:ascii="Calibri"/>
          <w:sz w:val="20"/>
          <w:szCs w:val="28"/>
        </w:rPr>
      </w:pPr>
    </w:p>
    <w:p w14:paraId="0169B1DF">
      <w:pPr>
        <w:rPr>
          <w:rFonts w:ascii="Calibri"/>
          <w:sz w:val="20"/>
          <w:szCs w:val="28"/>
        </w:rPr>
      </w:pPr>
    </w:p>
    <w:p w14:paraId="7152D6D8">
      <w:pPr>
        <w:jc w:val="center"/>
        <w:rPr>
          <w:rFonts w:ascii="微软雅黑" w:hAnsi="微软雅黑" w:eastAsia="微软雅黑" w:cs="微软雅黑"/>
          <w:b/>
          <w:bCs/>
          <w:sz w:val="48"/>
          <w:szCs w:val="48"/>
          <w:u w:val="single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  <w:u w:val="single"/>
        </w:rPr>
        <w:t>平顶山天安煤业天宏选煤有限公司</w:t>
      </w:r>
    </w:p>
    <w:p w14:paraId="5E256EAF">
      <w:pPr>
        <w:rPr>
          <w:rFonts w:ascii="微软雅黑" w:hAnsi="微软雅黑" w:eastAsia="微软雅黑" w:cs="微软雅黑"/>
          <w:b/>
          <w:bCs/>
          <w:sz w:val="48"/>
          <w:szCs w:val="48"/>
        </w:rPr>
      </w:pPr>
    </w:p>
    <w:p w14:paraId="7409F620">
      <w:pPr>
        <w:rPr>
          <w:rFonts w:ascii="微软雅黑"/>
          <w:b/>
          <w:sz w:val="62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</w:rPr>
        <w:t>浮选精煤灰分5G数字自动校准在线检测技术研发及应用</w:t>
      </w:r>
      <w:r>
        <w:rPr>
          <w:rFonts w:hint="eastAsia" w:ascii="微软雅黑" w:hAnsi="微软雅黑" w:eastAsia="微软雅黑" w:cs="微软雅黑"/>
          <w:b/>
          <w:bCs/>
          <w:sz w:val="48"/>
          <w:szCs w:val="48"/>
          <w:lang w:val="en-US" w:eastAsia="zh-CN"/>
        </w:rPr>
        <w:t>培训</w:t>
      </w:r>
      <w:r>
        <w:rPr>
          <w:rFonts w:hint="eastAsia" w:ascii="微软雅黑" w:hAnsi="微软雅黑" w:eastAsia="微软雅黑" w:cs="微软雅黑"/>
          <w:b/>
          <w:bCs/>
          <w:sz w:val="48"/>
          <w:szCs w:val="48"/>
        </w:rPr>
        <w:t>手册</w:t>
      </w:r>
    </w:p>
    <w:p w14:paraId="663D57BC">
      <w:pPr>
        <w:spacing w:before="13"/>
        <w:rPr>
          <w:rFonts w:ascii="微软雅黑"/>
          <w:b/>
          <w:sz w:val="72"/>
          <w:szCs w:val="28"/>
        </w:rPr>
      </w:pPr>
    </w:p>
    <w:p w14:paraId="75DB27D6">
      <w:pPr>
        <w:jc w:val="center"/>
        <w:rPr>
          <w:rFonts w:ascii="黑体" w:hAnsi="黑体" w:eastAsia="黑体" w:cs="黑体"/>
          <w:b/>
          <w:bCs/>
          <w:sz w:val="72"/>
          <w:szCs w:val="72"/>
          <w:lang w:val="en-US"/>
        </w:rPr>
      </w:pPr>
    </w:p>
    <w:p w14:paraId="1A61F20D">
      <w:pPr>
        <w:rPr>
          <w:rFonts w:ascii="黑体"/>
          <w:b/>
          <w:sz w:val="72"/>
          <w:szCs w:val="28"/>
        </w:rPr>
      </w:pPr>
    </w:p>
    <w:p w14:paraId="506EE0B7">
      <w:pPr>
        <w:jc w:val="center"/>
        <w:rPr>
          <w:rFonts w:ascii="黑体"/>
          <w:b/>
          <w:sz w:val="32"/>
          <w:szCs w:val="32"/>
        </w:rPr>
      </w:pPr>
      <w:bookmarkStart w:id="0" w:name="_Toc12289"/>
      <w:r>
        <w:rPr>
          <w:rFonts w:hint="eastAsia" w:ascii="微软雅黑" w:hAnsi="微软雅黑" w:eastAsia="微软雅黑" w:cs="微软雅黑"/>
          <w:b/>
          <w:bCs/>
          <w:sz w:val="32"/>
          <w:szCs w:val="32"/>
          <w:lang w:val="en-US"/>
        </w:rPr>
        <w:t>沈阳隆基智能技术研究</w:t>
      </w:r>
      <w:r>
        <w:rPr>
          <w:rFonts w:hint="eastAsia" w:ascii="微软雅黑" w:hAnsi="微软雅黑" w:eastAsia="微软雅黑" w:cs="微软雅黑"/>
          <w:b/>
          <w:bCs/>
          <w:sz w:val="32"/>
          <w:szCs w:val="32"/>
        </w:rPr>
        <w:t>有限公司</w:t>
      </w:r>
      <w:bookmarkEnd w:id="0"/>
    </w:p>
    <w:p w14:paraId="691680A3">
      <w:pPr>
        <w:rPr>
          <w:rFonts w:ascii="黑体"/>
          <w:b/>
          <w:sz w:val="72"/>
          <w:szCs w:val="28"/>
        </w:rPr>
      </w:pPr>
    </w:p>
    <w:p w14:paraId="6E470C16">
      <w:pPr>
        <w:spacing w:before="8"/>
        <w:rPr>
          <w:rFonts w:ascii="黑体"/>
          <w:b/>
          <w:sz w:val="60"/>
          <w:szCs w:val="28"/>
        </w:rPr>
      </w:pPr>
    </w:p>
    <w:p w14:paraId="0B86D2BB">
      <w:pPr>
        <w:ind w:right="1255"/>
        <w:jc w:val="right"/>
        <w:rPr>
          <w:sz w:val="30"/>
        </w:rPr>
      </w:pPr>
      <w:r>
        <w:rPr>
          <w:rFonts w:hint="eastAsia"/>
          <w:sz w:val="30"/>
          <w:lang w:val="en-US"/>
        </w:rPr>
        <w:t xml:space="preserve">     </w:t>
      </w:r>
    </w:p>
    <w:p w14:paraId="5F3DA096">
      <w:pPr>
        <w:spacing w:before="9"/>
        <w:ind w:firstLine="3000" w:firstLineChars="1000"/>
        <w:jc w:val="left"/>
        <w:rPr>
          <w:rFonts w:hint="default" w:eastAsia="宋体"/>
          <w:sz w:val="28"/>
          <w:szCs w:val="28"/>
          <w:lang w:val="en-US" w:eastAsia="zh-CN"/>
        </w:rPr>
      </w:pPr>
      <w:r>
        <w:rPr>
          <w:rFonts w:hint="eastAsia"/>
          <w:sz w:val="30"/>
          <w:lang w:val="en-US" w:eastAsia="zh-CN"/>
        </w:rPr>
        <w:t>海爽   15002477157</w:t>
      </w:r>
    </w:p>
    <w:p w14:paraId="034CF9A2">
      <w:pPr>
        <w:spacing w:before="9"/>
        <w:ind w:firstLine="2400" w:firstLineChars="1500"/>
        <w:rPr>
          <w:sz w:val="16"/>
          <w:szCs w:val="28"/>
        </w:rPr>
      </w:pPr>
    </w:p>
    <w:p w14:paraId="65C29F2B">
      <w:pPr>
        <w:rPr>
          <w:rFonts w:ascii="Times New Roman"/>
          <w:sz w:val="20"/>
        </w:rPr>
        <w:sectPr>
          <w:headerReference r:id="rId4" w:type="first"/>
          <w:footerReference r:id="rId6" w:type="first"/>
          <w:headerReference r:id="rId3" w:type="default"/>
          <w:footerReference r:id="rId5" w:type="default"/>
          <w:type w:val="continuous"/>
          <w:pgSz w:w="11906" w:h="16838"/>
          <w:pgMar w:top="1420" w:right="1480" w:bottom="280" w:left="1660" w:header="914" w:footer="720" w:gutter="0"/>
          <w:pgNumType w:fmt="upperRoman"/>
          <w:cols w:space="720" w:num="1"/>
          <w:titlePg/>
          <w:docGrid w:linePitch="299" w:charSpace="0"/>
        </w:sectPr>
      </w:pPr>
      <w:r>
        <w:rPr>
          <w:rFonts w:ascii="Times New Roman"/>
          <w:sz w:val="20"/>
        </w:rPr>
        <w:br w:type="page"/>
      </w:r>
    </w:p>
    <w:p w14:paraId="140EF3DF">
      <w:pPr>
        <w:autoSpaceDE/>
        <w:autoSpaceDN/>
        <w:jc w:val="both"/>
        <w:rPr>
          <w:rFonts w:ascii="Calibri" w:hAnsi="Calibri" w:cs="Times New Roman"/>
          <w:kern w:val="2"/>
          <w:sz w:val="21"/>
          <w:szCs w:val="24"/>
          <w:lang w:val="en-US" w:bidi="ar-SA"/>
        </w:rPr>
      </w:pPr>
    </w:p>
    <w:sdt>
      <w:sdtPr>
        <w:rPr>
          <w:rFonts w:ascii="宋体" w:hAnsi="宋体" w:eastAsia="宋体" w:cs="宋体"/>
          <w:sz w:val="32"/>
          <w:szCs w:val="32"/>
          <w:lang w:val="zh-CN" w:eastAsia="zh-CN" w:bidi="zh-CN"/>
        </w:rPr>
        <w:id w:val="147468711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="宋体"/>
          <w:sz w:val="32"/>
          <w:szCs w:val="32"/>
          <w:lang w:val="zh-CN" w:eastAsia="zh-CN" w:bidi="zh-CN"/>
        </w:rPr>
      </w:sdtEndPr>
      <w:sdtContent>
        <w:p w14:paraId="4BD9712F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before="0" w:beforeLines="0" w:after="0" w:afterLines="0" w:line="480" w:lineRule="auto"/>
            <w:ind w:left="0" w:leftChars="0" w:right="0" w:rightChars="0" w:firstLine="0" w:firstLineChars="0"/>
            <w:jc w:val="center"/>
            <w:textAlignment w:val="auto"/>
            <w:rPr>
              <w:sz w:val="32"/>
              <w:szCs w:val="32"/>
            </w:rPr>
          </w:pPr>
          <w:bookmarkStart w:id="1" w:name="_Toc27329"/>
          <w:bookmarkStart w:id="2" w:name="_Toc15101"/>
          <w:bookmarkStart w:id="3" w:name="_Toc16415"/>
          <w:r>
            <w:rPr>
              <w:rFonts w:ascii="宋体" w:hAnsi="宋体" w:eastAsia="宋体"/>
              <w:sz w:val="32"/>
              <w:szCs w:val="32"/>
            </w:rPr>
            <w:t>目录</w:t>
          </w:r>
        </w:p>
        <w:p w14:paraId="35D36E2C">
          <w:pPr>
            <w:pStyle w:val="13"/>
            <w:keepNext w:val="0"/>
            <w:keepLines w:val="0"/>
            <w:pageBreakBefore w:val="0"/>
            <w:widowControl w:val="0"/>
            <w:tabs>
              <w:tab w:val="right" w:leader="dot" w:pos="8310"/>
            </w:tabs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line="480" w:lineRule="auto"/>
            <w:textAlignment w:val="auto"/>
            <w:rPr>
              <w:sz w:val="32"/>
              <w:szCs w:val="32"/>
            </w:rPr>
          </w:pP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TOC \o "1-2" \h \u </w:instrText>
          </w:r>
          <w:r>
            <w:rPr>
              <w:sz w:val="32"/>
              <w:szCs w:val="32"/>
            </w:rPr>
            <w:fldChar w:fldCharType="separate"/>
          </w: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HYPERLINK \l _Toc25672 </w:instrText>
          </w:r>
          <w:r>
            <w:rPr>
              <w:sz w:val="32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kern w:val="2"/>
              <w:sz w:val="32"/>
              <w:szCs w:val="32"/>
              <w:lang w:val="en-US" w:bidi="ar-SA"/>
            </w:rPr>
            <w:t xml:space="preserve">一、 </w:t>
          </w:r>
          <w:r>
            <w:rPr>
              <w:rFonts w:hint="eastAsia" w:ascii="黑体" w:hAnsi="黑体" w:eastAsia="黑体" w:cs="Times New Roman"/>
              <w:kern w:val="2"/>
              <w:sz w:val="32"/>
              <w:szCs w:val="32"/>
              <w:lang w:val="en-US" w:eastAsia="zh-CN" w:bidi="ar-SA"/>
            </w:rPr>
            <w:t>系统概述</w:t>
          </w:r>
          <w:r>
            <w:rPr>
              <w:sz w:val="32"/>
              <w:szCs w:val="32"/>
            </w:rPr>
            <w:tab/>
          </w: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PAGEREF _Toc25672 \h </w:instrText>
          </w:r>
          <w:r>
            <w:rPr>
              <w:sz w:val="32"/>
              <w:szCs w:val="32"/>
            </w:rPr>
            <w:fldChar w:fldCharType="separate"/>
          </w:r>
          <w:r>
            <w:rPr>
              <w:sz w:val="32"/>
              <w:szCs w:val="32"/>
            </w:rPr>
            <w:t>3</w:t>
          </w:r>
          <w:r>
            <w:rPr>
              <w:sz w:val="32"/>
              <w:szCs w:val="32"/>
            </w:rPr>
            <w:fldChar w:fldCharType="end"/>
          </w:r>
          <w:r>
            <w:rPr>
              <w:sz w:val="32"/>
              <w:szCs w:val="32"/>
            </w:rPr>
            <w:fldChar w:fldCharType="end"/>
          </w:r>
        </w:p>
        <w:p w14:paraId="24EC953D">
          <w:pPr>
            <w:pStyle w:val="13"/>
            <w:keepNext w:val="0"/>
            <w:keepLines w:val="0"/>
            <w:pageBreakBefore w:val="0"/>
            <w:widowControl w:val="0"/>
            <w:tabs>
              <w:tab w:val="right" w:leader="dot" w:pos="8310"/>
            </w:tabs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line="480" w:lineRule="auto"/>
            <w:textAlignment w:val="auto"/>
            <w:rPr>
              <w:sz w:val="32"/>
              <w:szCs w:val="32"/>
            </w:rPr>
          </w:pP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HYPERLINK \l _Toc31790 </w:instrText>
          </w:r>
          <w:r>
            <w:rPr>
              <w:sz w:val="32"/>
              <w:szCs w:val="32"/>
            </w:rPr>
            <w:fldChar w:fldCharType="separate"/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bidi="ar-SA"/>
            </w:rPr>
            <w:t>二、 分析系统组成</w:t>
          </w:r>
          <w:r>
            <w:rPr>
              <w:sz w:val="32"/>
              <w:szCs w:val="32"/>
            </w:rPr>
            <w:tab/>
          </w: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PAGEREF _Toc31790 \h </w:instrText>
          </w:r>
          <w:r>
            <w:rPr>
              <w:sz w:val="32"/>
              <w:szCs w:val="32"/>
            </w:rPr>
            <w:fldChar w:fldCharType="separate"/>
          </w:r>
          <w:r>
            <w:rPr>
              <w:sz w:val="32"/>
              <w:szCs w:val="32"/>
            </w:rPr>
            <w:t>4</w:t>
          </w:r>
          <w:r>
            <w:rPr>
              <w:sz w:val="32"/>
              <w:szCs w:val="32"/>
            </w:rPr>
            <w:fldChar w:fldCharType="end"/>
          </w:r>
          <w:r>
            <w:rPr>
              <w:sz w:val="32"/>
              <w:szCs w:val="32"/>
            </w:rPr>
            <w:fldChar w:fldCharType="end"/>
          </w:r>
        </w:p>
        <w:p w14:paraId="52113124">
          <w:pPr>
            <w:pStyle w:val="13"/>
            <w:keepNext w:val="0"/>
            <w:keepLines w:val="0"/>
            <w:pageBreakBefore w:val="0"/>
            <w:widowControl w:val="0"/>
            <w:tabs>
              <w:tab w:val="right" w:leader="dot" w:pos="8310"/>
            </w:tabs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line="480" w:lineRule="auto"/>
            <w:textAlignment w:val="auto"/>
            <w:rPr>
              <w:sz w:val="32"/>
              <w:szCs w:val="32"/>
            </w:rPr>
          </w:pP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HYPERLINK \l _Toc20861 </w:instrText>
          </w:r>
          <w:r>
            <w:rPr>
              <w:sz w:val="32"/>
              <w:szCs w:val="32"/>
            </w:rPr>
            <w:fldChar w:fldCharType="separate"/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bidi="ar-SA"/>
            </w:rPr>
            <w:t>三、 分析仪界面功能与操作</w:t>
          </w:r>
          <w:r>
            <w:rPr>
              <w:sz w:val="32"/>
              <w:szCs w:val="32"/>
            </w:rPr>
            <w:tab/>
          </w: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PAGEREF _Toc20861 \h </w:instrText>
          </w:r>
          <w:r>
            <w:rPr>
              <w:sz w:val="32"/>
              <w:szCs w:val="32"/>
            </w:rPr>
            <w:fldChar w:fldCharType="separate"/>
          </w:r>
          <w:r>
            <w:rPr>
              <w:sz w:val="32"/>
              <w:szCs w:val="32"/>
            </w:rPr>
            <w:t>9</w:t>
          </w:r>
          <w:r>
            <w:rPr>
              <w:sz w:val="32"/>
              <w:szCs w:val="32"/>
            </w:rPr>
            <w:fldChar w:fldCharType="end"/>
          </w:r>
          <w:r>
            <w:rPr>
              <w:sz w:val="32"/>
              <w:szCs w:val="32"/>
            </w:rPr>
            <w:fldChar w:fldCharType="end"/>
          </w:r>
        </w:p>
        <w:p w14:paraId="1631E861">
          <w:pPr>
            <w:pStyle w:val="13"/>
            <w:keepNext w:val="0"/>
            <w:keepLines w:val="0"/>
            <w:pageBreakBefore w:val="0"/>
            <w:widowControl w:val="0"/>
            <w:tabs>
              <w:tab w:val="right" w:leader="dot" w:pos="8310"/>
            </w:tabs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line="480" w:lineRule="auto"/>
            <w:textAlignment w:val="auto"/>
            <w:rPr>
              <w:sz w:val="32"/>
              <w:szCs w:val="32"/>
            </w:rPr>
          </w:pP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HYPERLINK \l _Toc7295 </w:instrText>
          </w:r>
          <w:r>
            <w:rPr>
              <w:sz w:val="32"/>
              <w:szCs w:val="32"/>
            </w:rPr>
            <w:fldChar w:fldCharType="separate"/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eastAsia="zh-CN" w:bidi="ar-SA"/>
            </w:rPr>
            <w:t xml:space="preserve">四、 </w:t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bidi="ar-SA"/>
            </w:rPr>
            <w:t>分析系统维护</w:t>
          </w:r>
          <w:r>
            <w:rPr>
              <w:sz w:val="32"/>
              <w:szCs w:val="32"/>
            </w:rPr>
            <w:tab/>
          </w: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PAGEREF _Toc7295 \h </w:instrText>
          </w:r>
          <w:r>
            <w:rPr>
              <w:sz w:val="32"/>
              <w:szCs w:val="32"/>
            </w:rPr>
            <w:fldChar w:fldCharType="separate"/>
          </w:r>
          <w:r>
            <w:rPr>
              <w:sz w:val="32"/>
              <w:szCs w:val="32"/>
            </w:rPr>
            <w:t>44</w:t>
          </w:r>
          <w:r>
            <w:rPr>
              <w:sz w:val="32"/>
              <w:szCs w:val="32"/>
            </w:rPr>
            <w:fldChar w:fldCharType="end"/>
          </w:r>
          <w:r>
            <w:rPr>
              <w:sz w:val="32"/>
              <w:szCs w:val="32"/>
            </w:rPr>
            <w:fldChar w:fldCharType="end"/>
          </w:r>
        </w:p>
        <w:p w14:paraId="3820B301">
          <w:pPr>
            <w:pStyle w:val="13"/>
            <w:keepNext w:val="0"/>
            <w:keepLines w:val="0"/>
            <w:pageBreakBefore w:val="0"/>
            <w:widowControl w:val="0"/>
            <w:tabs>
              <w:tab w:val="right" w:leader="dot" w:pos="8310"/>
            </w:tabs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line="480" w:lineRule="auto"/>
            <w:textAlignment w:val="auto"/>
            <w:rPr>
              <w:sz w:val="32"/>
              <w:szCs w:val="32"/>
            </w:rPr>
          </w:pP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HYPERLINK \l _Toc13526 </w:instrText>
          </w:r>
          <w:r>
            <w:rPr>
              <w:sz w:val="32"/>
              <w:szCs w:val="32"/>
            </w:rPr>
            <w:fldChar w:fldCharType="separate"/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bidi="ar-SA"/>
            </w:rPr>
            <w:t xml:space="preserve">五、 </w:t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eastAsia="zh-CN" w:bidi="ar-SA"/>
            </w:rPr>
            <w:t>异常状态处理</w:t>
          </w:r>
          <w:r>
            <w:rPr>
              <w:sz w:val="32"/>
              <w:szCs w:val="32"/>
            </w:rPr>
            <w:tab/>
          </w: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PAGEREF _Toc13526 \h </w:instrText>
          </w:r>
          <w:r>
            <w:rPr>
              <w:sz w:val="32"/>
              <w:szCs w:val="32"/>
            </w:rPr>
            <w:fldChar w:fldCharType="separate"/>
          </w:r>
          <w:r>
            <w:rPr>
              <w:sz w:val="32"/>
              <w:szCs w:val="32"/>
            </w:rPr>
            <w:t>55</w:t>
          </w:r>
          <w:r>
            <w:rPr>
              <w:sz w:val="32"/>
              <w:szCs w:val="32"/>
            </w:rPr>
            <w:fldChar w:fldCharType="end"/>
          </w:r>
          <w:r>
            <w:rPr>
              <w:sz w:val="32"/>
              <w:szCs w:val="32"/>
            </w:rPr>
            <w:fldChar w:fldCharType="end"/>
          </w:r>
        </w:p>
        <w:p w14:paraId="1B58D288">
          <w:pPr>
            <w:pStyle w:val="13"/>
            <w:keepNext w:val="0"/>
            <w:keepLines w:val="0"/>
            <w:pageBreakBefore w:val="0"/>
            <w:widowControl w:val="0"/>
            <w:tabs>
              <w:tab w:val="right" w:leader="dot" w:pos="8310"/>
            </w:tabs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line="480" w:lineRule="auto"/>
            <w:textAlignment w:val="auto"/>
            <w:rPr>
              <w:sz w:val="32"/>
              <w:szCs w:val="32"/>
            </w:rPr>
          </w:pP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HYPERLINK \l _Toc12584 </w:instrText>
          </w:r>
          <w:r>
            <w:rPr>
              <w:sz w:val="32"/>
              <w:szCs w:val="32"/>
            </w:rPr>
            <w:fldChar w:fldCharType="separate"/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bidi="ar-SA"/>
            </w:rPr>
            <w:t xml:space="preserve">六、 </w:t>
          </w:r>
          <w:r>
            <w:rPr>
              <w:rFonts w:hint="eastAsia" w:ascii="Arial" w:hAnsi="Arial" w:eastAsia="黑体" w:cs="Times New Roman"/>
              <w:kern w:val="2"/>
              <w:sz w:val="32"/>
              <w:szCs w:val="32"/>
              <w:lang w:val="en-US" w:eastAsia="zh-CN" w:bidi="ar-SA"/>
            </w:rPr>
            <w:t>培训计划</w:t>
          </w:r>
          <w:r>
            <w:rPr>
              <w:sz w:val="32"/>
              <w:szCs w:val="32"/>
            </w:rPr>
            <w:tab/>
          </w:r>
          <w:r>
            <w:rPr>
              <w:sz w:val="32"/>
              <w:szCs w:val="32"/>
            </w:rPr>
            <w:fldChar w:fldCharType="begin"/>
          </w:r>
          <w:r>
            <w:rPr>
              <w:sz w:val="32"/>
              <w:szCs w:val="32"/>
            </w:rPr>
            <w:instrText xml:space="preserve"> PAGEREF _Toc12584 \h </w:instrText>
          </w:r>
          <w:r>
            <w:rPr>
              <w:sz w:val="32"/>
              <w:szCs w:val="32"/>
            </w:rPr>
            <w:fldChar w:fldCharType="separate"/>
          </w:r>
          <w:r>
            <w:rPr>
              <w:sz w:val="32"/>
              <w:szCs w:val="32"/>
            </w:rPr>
            <w:t>56</w:t>
          </w:r>
          <w:r>
            <w:rPr>
              <w:sz w:val="32"/>
              <w:szCs w:val="32"/>
            </w:rPr>
            <w:fldChar w:fldCharType="end"/>
          </w:r>
          <w:r>
            <w:rPr>
              <w:sz w:val="32"/>
              <w:szCs w:val="32"/>
            </w:rPr>
            <w:fldChar w:fldCharType="end"/>
          </w:r>
        </w:p>
        <w:p w14:paraId="5EAF5D3D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 w:val="0"/>
            <w:autoSpaceDN w:val="0"/>
            <w:bidi w:val="0"/>
            <w:adjustRightInd/>
            <w:snapToGrid/>
            <w:spacing w:line="480" w:lineRule="auto"/>
            <w:textAlignment w:val="auto"/>
            <w:rPr>
              <w:sz w:val="32"/>
              <w:szCs w:val="32"/>
            </w:rPr>
            <w:sectPr>
              <w:footerReference r:id="rId7" w:type="default"/>
              <w:pgSz w:w="11910" w:h="16840"/>
              <w:pgMar w:top="1440" w:right="1800" w:bottom="1440" w:left="1800" w:header="914" w:footer="1249" w:gutter="0"/>
              <w:cols w:space="720" w:num="1"/>
              <w:docGrid w:linePitch="299" w:charSpace="0"/>
            </w:sectPr>
          </w:pPr>
          <w:r>
            <w:rPr>
              <w:sz w:val="32"/>
              <w:szCs w:val="32"/>
            </w:rPr>
            <w:fldChar w:fldCharType="end"/>
          </w:r>
        </w:p>
      </w:sdtContent>
    </w:sdt>
    <w:p w14:paraId="70F65920"/>
    <w:p w14:paraId="75F1ED7A">
      <w:pPr>
        <w:rPr>
          <w:rFonts w:ascii="Arial" w:hAnsi="Arial" w:eastAsia="黑体" w:cs="Times New Roman"/>
          <w:b/>
          <w:kern w:val="2"/>
          <w:sz w:val="32"/>
          <w:szCs w:val="24"/>
          <w:lang w:val="en-US" w:bidi="ar-SA"/>
        </w:rPr>
      </w:pPr>
    </w:p>
    <w:p w14:paraId="1C6D2DE9">
      <w:pPr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60" w:line="413" w:lineRule="auto"/>
        <w:jc w:val="both"/>
        <w:textAlignment w:val="auto"/>
        <w:outlineLvl w:val="1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bookmarkStart w:id="4" w:name="_Toc25672"/>
      <w:r>
        <w:rPr>
          <w:rFonts w:hint="eastAsia" w:ascii="黑体" w:hAnsi="黑体" w:eastAsia="黑体" w:cs="Times New Roman"/>
          <w:b/>
          <w:kern w:val="2"/>
          <w:sz w:val="32"/>
          <w:szCs w:val="32"/>
          <w:lang w:val="en-US" w:eastAsia="zh-CN" w:bidi="ar-SA"/>
        </w:rPr>
        <w:t>系统概述</w:t>
      </w:r>
      <w:bookmarkEnd w:id="4"/>
    </w:p>
    <w:p w14:paraId="374212A0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firstLine="560" w:firstLineChars="200"/>
        <w:textAlignment w:val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在选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煤</w:t>
      </w:r>
      <w:r>
        <w:rPr>
          <w:rFonts w:ascii="Times New Roman" w:hAnsi="Times New Roman" w:cs="Times New Roman"/>
          <w:sz w:val="28"/>
          <w:szCs w:val="28"/>
          <w:lang w:val="en-US"/>
        </w:rPr>
        <w:t>过程中，要及时掌握生产目标工艺点的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灰分值</w:t>
      </w:r>
      <w:r>
        <w:rPr>
          <w:rFonts w:ascii="Times New Roman" w:hAnsi="Times New Roman" w:cs="Times New Roman"/>
          <w:sz w:val="28"/>
          <w:szCs w:val="28"/>
          <w:lang w:val="en-US"/>
        </w:rPr>
        <w:t>，常规人工化验，数据结果有很大的滞后性，且受化验步骤中人员的水平与操作影响，会造成人为误差与差错。选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煤</w:t>
      </w:r>
      <w:r>
        <w:rPr>
          <w:rFonts w:ascii="Times New Roman" w:hAnsi="Times New Roman" w:cs="Times New Roman"/>
          <w:sz w:val="28"/>
          <w:szCs w:val="28"/>
          <w:lang w:val="en-US"/>
        </w:rPr>
        <w:t>产品质量受人工化验时间限制，选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煤</w:t>
      </w:r>
      <w:r>
        <w:rPr>
          <w:rFonts w:ascii="Times New Roman" w:hAnsi="Times New Roman" w:cs="Times New Roman"/>
          <w:sz w:val="28"/>
          <w:szCs w:val="28"/>
          <w:lang w:val="en-US"/>
        </w:rPr>
        <w:t>技术人员和操作工无法及时得到准确的生产数据，造成生产技术指标波动较大。</w:t>
      </w:r>
    </w:p>
    <w:p w14:paraId="7CD15A84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firstLine="560" w:firstLineChars="200"/>
        <w:textAlignment w:val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通过在所需工艺点增加X荧光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智能矿浆灰分</w:t>
      </w:r>
      <w:r>
        <w:rPr>
          <w:rFonts w:ascii="Times New Roman" w:hAnsi="Times New Roman" w:cs="Times New Roman"/>
          <w:sz w:val="28"/>
          <w:szCs w:val="28"/>
          <w:lang w:val="en-US"/>
        </w:rPr>
        <w:t>分析仪，对目标工艺点的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灰分</w:t>
      </w:r>
      <w:r>
        <w:rPr>
          <w:rFonts w:ascii="Times New Roman" w:hAnsi="Times New Roman" w:cs="Times New Roman"/>
          <w:sz w:val="28"/>
          <w:szCs w:val="28"/>
          <w:lang w:val="en-US"/>
        </w:rPr>
        <w:t>在线检测，可以为选厂减轻人员化验工作强度；可以实时显示出选厂生产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灰分</w:t>
      </w:r>
      <w:r>
        <w:rPr>
          <w:rFonts w:ascii="Times New Roman" w:hAnsi="Times New Roman" w:cs="Times New Roman"/>
          <w:sz w:val="28"/>
          <w:szCs w:val="28"/>
          <w:lang w:val="en-US"/>
        </w:rPr>
        <w:t>趋势图与各个时间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灰分</w:t>
      </w:r>
      <w:r>
        <w:rPr>
          <w:rFonts w:ascii="Times New Roman" w:hAnsi="Times New Roman" w:cs="Times New Roman"/>
          <w:sz w:val="28"/>
          <w:szCs w:val="28"/>
          <w:lang w:val="en-US"/>
        </w:rPr>
        <w:t>值，及时指导选厂生产稳定生产状态、稳定产品质量。基于上述背景，选厂在线对矿浆目标元素的实时</w:t>
      </w:r>
      <w:r>
        <w:rPr>
          <w:rFonts w:hint="eastAsia" w:ascii="Times New Roman" w:hAnsi="Times New Roman" w:cs="Times New Roman"/>
          <w:sz w:val="28"/>
          <w:szCs w:val="28"/>
          <w:lang w:val="en-US"/>
        </w:rPr>
        <w:t>灰分</w:t>
      </w:r>
      <w:r>
        <w:rPr>
          <w:rFonts w:ascii="Times New Roman" w:hAnsi="Times New Roman" w:cs="Times New Roman"/>
          <w:sz w:val="28"/>
          <w:szCs w:val="28"/>
          <w:lang w:val="en-US"/>
        </w:rPr>
        <w:t>检测，显然很有必要。</w:t>
      </w:r>
    </w:p>
    <w:p w14:paraId="53BA79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150" w:beforeLines="50" w:after="300" w:afterLines="100" w:line="240" w:lineRule="auto"/>
        <w:ind w:leftChars="0"/>
        <w:jc w:val="left"/>
        <w:textAlignment w:val="auto"/>
        <w:rPr>
          <w:rFonts w:hint="eastAsia" w:cs="Times New Roman" w:asciiTheme="minorEastAsia" w:hAnsiTheme="minorEastAsia" w:eastAsiaTheme="minorEastAsia"/>
          <w:b/>
          <w:bCs/>
          <w:sz w:val="32"/>
          <w:szCs w:val="32"/>
          <w:lang w:val="en-US" w:eastAsia="zh-CN"/>
        </w:rPr>
      </w:pPr>
      <w:r>
        <w:rPr>
          <w:rFonts w:hint="eastAsia" w:cs="Times New Roman" w:asciiTheme="minorEastAsia" w:hAnsiTheme="minorEastAsia" w:eastAsiaTheme="minorEastAsia"/>
          <w:b/>
          <w:bCs/>
          <w:sz w:val="32"/>
          <w:szCs w:val="32"/>
          <w:lang w:val="en-US" w:eastAsia="zh-CN"/>
        </w:rPr>
        <w:t>产品特点:</w:t>
      </w:r>
    </w:p>
    <w:p w14:paraId="50F858D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</w:pPr>
      <w:r>
        <w:rPr>
          <w:rFonts w:hint="eastAsia" w:cs="Times New Roman" w:asciiTheme="minorEastAsia" w:hAnsiTheme="minorEastAsia" w:eastAsiaTheme="minorEastAsia"/>
          <w:b/>
          <w:bCs/>
          <w:sz w:val="28"/>
          <w:szCs w:val="28"/>
          <w:lang w:val="en-US" w:eastAsia="zh-CN"/>
        </w:rPr>
        <w:t>固态检测；</w:t>
      </w:r>
      <w:r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  <w:t>自动过滤烘干，充分搅拌，测量干饼（XRF检测国家标准认可的粉末压片法），最大程度保证检测代表性。</w:t>
      </w:r>
    </w:p>
    <w:p w14:paraId="4B43117B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</w:pPr>
      <w:r>
        <w:rPr>
          <w:rFonts w:hint="eastAsia" w:cs="Times New Roman" w:asciiTheme="minorEastAsia" w:hAnsiTheme="minorEastAsia" w:eastAsiaTheme="minorEastAsia"/>
          <w:b/>
          <w:bCs/>
          <w:sz w:val="28"/>
          <w:szCs w:val="28"/>
          <w:lang w:val="en-US" w:eastAsia="zh-CN"/>
        </w:rPr>
        <w:t>实时性；</w:t>
      </w:r>
      <w:r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  <w:t>单样品检测时间在6-10分钟，而且实时在线上传至中控室指导生产的，最大程度保证检测稳定性。</w:t>
      </w:r>
    </w:p>
    <w:p w14:paraId="7EDD6A3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</w:pPr>
      <w:r>
        <w:rPr>
          <w:rFonts w:hint="eastAsia" w:cs="Times New Roman" w:asciiTheme="minorEastAsia" w:hAnsiTheme="minorEastAsia" w:eastAsiaTheme="minorEastAsia"/>
          <w:b/>
          <w:bCs/>
          <w:sz w:val="28"/>
          <w:szCs w:val="28"/>
          <w:lang w:val="en-US" w:eastAsia="zh-CN"/>
        </w:rPr>
        <w:t>自动校准；</w:t>
      </w:r>
      <w:r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  <w:t>非接触检测，频繁标定，人工维护少。</w:t>
      </w:r>
    </w:p>
    <w:p w14:paraId="7D686B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150" w:beforeLines="50" w:after="300" w:afterLines="100"/>
        <w:ind w:leftChars="0"/>
        <w:textAlignment w:val="auto"/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</w:pPr>
      <w:r>
        <w:rPr>
          <w:rFonts w:hint="eastAsia" w:cs="Times New Roman" w:asciiTheme="minorEastAsia" w:hAnsiTheme="minorEastAsia" w:eastAsiaTheme="minorEastAsia"/>
          <w:b/>
          <w:bCs/>
          <w:sz w:val="32"/>
          <w:szCs w:val="32"/>
          <w:lang w:val="en-US" w:eastAsia="zh-CN"/>
        </w:rPr>
        <w:t>工作原理：</w:t>
      </w:r>
    </w:p>
    <w:p w14:paraId="1F0D1D6C">
      <w:pPr>
        <w:numPr>
          <w:ilvl w:val="0"/>
          <w:numId w:val="0"/>
        </w:numPr>
        <w:spacing w:line="360" w:lineRule="auto"/>
        <w:ind w:firstLine="560" w:firstLineChars="200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rFonts w:hint="eastAsia" w:cs="Times New Roman" w:asciiTheme="minorEastAsia" w:hAnsiTheme="minorEastAsia" w:eastAsiaTheme="minorEastAsia"/>
          <w:sz w:val="28"/>
          <w:szCs w:val="28"/>
          <w:lang w:val="en-US" w:eastAsia="zh-CN"/>
        </w:rPr>
        <w:t>灰分的检测采用关键器件为X射线透射吸收效应光源及传感器，搭配样品预制设备、结合上位机软件，对灰分进行数据采集、分析与处理；根据元素特征谱峰强度与含量的相应数学模型计算待测元素含量，根据元素特征谱峰强度与含量的相应数学模型计算待测元素含量，只要测出荧光X射线的波长或者能量,就可以知道元素的种类，这就是荧光X射线定性分析的基础。</w:t>
      </w:r>
    </w:p>
    <w:p w14:paraId="7B3A5AB0">
      <w:pPr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60" w:line="413" w:lineRule="auto"/>
        <w:jc w:val="both"/>
        <w:textAlignment w:val="auto"/>
        <w:outlineLvl w:val="1"/>
        <w:rPr>
          <w:rFonts w:ascii="Arial" w:hAnsi="Arial" w:eastAsia="黑体" w:cs="Times New Roman"/>
          <w:b/>
          <w:kern w:val="2"/>
          <w:sz w:val="32"/>
          <w:szCs w:val="24"/>
          <w:lang w:val="en-US" w:bidi="ar-SA"/>
        </w:rPr>
      </w:pPr>
      <w:bookmarkStart w:id="5" w:name="_Toc31790"/>
      <w:r>
        <w:rPr>
          <w:rFonts w:hint="eastAsia" w:ascii="Arial" w:hAnsi="Arial" w:eastAsia="黑体" w:cs="Times New Roman"/>
          <w:b/>
          <w:kern w:val="2"/>
          <w:sz w:val="32"/>
          <w:szCs w:val="24"/>
          <w:lang w:val="en-US" w:bidi="ar-SA"/>
        </w:rPr>
        <w:t>分析系统组成</w:t>
      </w:r>
      <w:bookmarkEnd w:id="1"/>
      <w:bookmarkEnd w:id="2"/>
      <w:bookmarkEnd w:id="3"/>
      <w:bookmarkEnd w:id="5"/>
    </w:p>
    <w:p w14:paraId="4D54DAD3">
      <w:pPr>
        <w:autoSpaceDE/>
        <w:autoSpaceDN/>
        <w:spacing w:line="360" w:lineRule="auto"/>
        <w:ind w:firstLine="560" w:firstLineChars="200"/>
        <w:jc w:val="both"/>
        <w:rPr>
          <w:rFonts w:hint="eastAsia"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X荧光智能矿浆灰分分析系统组成主要包括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两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 xml:space="preserve">部分：LXAD-100-02  </w:t>
      </w:r>
      <w:r>
        <w:rPr>
          <w:rFonts w:hint="eastAsia"/>
          <w:sz w:val="28"/>
          <w:szCs w:val="28"/>
        </w:rPr>
        <w:t>X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荧光智能矿浆灰分分析仪、取样系统组成。结构如下图所示：</w:t>
      </w:r>
    </w:p>
    <w:p w14:paraId="6477376F">
      <w:pPr>
        <w:spacing w:before="240" w:after="240"/>
        <w:jc w:val="center"/>
      </w:pPr>
      <w:r>
        <w:rPr>
          <w:lang w:val="en-US" w:bidi="ar-SA"/>
        </w:rPr>
        <w:drawing>
          <wp:inline distT="0" distB="0" distL="0" distR="0">
            <wp:extent cx="5400040" cy="2879725"/>
            <wp:effectExtent l="9525" t="9525" r="15875" b="21590"/>
            <wp:docPr id="55" name="图片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9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967FA1">
      <w:pPr>
        <w:pStyle w:val="25"/>
        <w:keepNext w:val="0"/>
        <w:keepLines w:val="0"/>
        <w:pageBreakBefore w:val="0"/>
        <w:widowControl w:val="0"/>
        <w:tabs>
          <w:tab w:val="left" w:pos="3377"/>
        </w:tabs>
        <w:kinsoku/>
        <w:wordWrap/>
        <w:overflowPunct/>
        <w:topLinePunct w:val="0"/>
        <w:autoSpaceDE w:val="0"/>
        <w:autoSpaceDN w:val="0"/>
        <w:bidi w:val="0"/>
        <w:adjustRightInd/>
        <w:snapToGrid/>
        <w:spacing w:after="240" w:afterLines="100"/>
        <w:ind w:left="442" w:firstLine="0" w:firstLineChars="0"/>
        <w:jc w:val="center"/>
        <w:textAlignment w:val="auto"/>
        <w:rPr>
          <w:sz w:val="24"/>
          <w:szCs w:val="24"/>
        </w:rPr>
      </w:pPr>
      <w:r>
        <w:rPr>
          <w:rFonts w:hint="eastAsia"/>
          <w:sz w:val="24"/>
          <w:szCs w:val="24"/>
        </w:rPr>
        <w:t>洗选楼</w:t>
      </w:r>
      <w:r>
        <w:rPr>
          <w:sz w:val="24"/>
          <w:szCs w:val="24"/>
        </w:rPr>
        <w:t>二层</w:t>
      </w:r>
      <w:r>
        <w:rPr>
          <w:rFonts w:hint="eastAsia"/>
          <w:sz w:val="24"/>
          <w:szCs w:val="24"/>
        </w:rPr>
        <w:t>实施技术方案图</w:t>
      </w:r>
    </w:p>
    <w:p w14:paraId="44AB2951">
      <w:pPr>
        <w:pStyle w:val="25"/>
        <w:tabs>
          <w:tab w:val="left" w:pos="3377"/>
        </w:tabs>
        <w:spacing w:after="240" w:afterLines="100"/>
        <w:ind w:left="0" w:firstLine="0"/>
        <w:jc w:val="center"/>
      </w:pPr>
      <w:r>
        <w:drawing>
          <wp:inline distT="0" distB="0" distL="0" distR="0">
            <wp:extent cx="5400040" cy="3239770"/>
            <wp:effectExtent l="9525" t="9525" r="15875" b="12065"/>
            <wp:docPr id="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39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441A07">
      <w:pPr>
        <w:pStyle w:val="25"/>
        <w:keepNext w:val="0"/>
        <w:keepLines w:val="0"/>
        <w:pageBreakBefore w:val="0"/>
        <w:widowControl w:val="0"/>
        <w:tabs>
          <w:tab w:val="left" w:pos="3377"/>
        </w:tabs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0" w:right="220" w:rightChars="100" w:firstLine="440" w:firstLineChars="200"/>
        <w:jc w:val="center"/>
        <w:textAlignment w:val="auto"/>
        <w:rPr>
          <w:rFonts w:hint="eastAsia" w:ascii="Calibri" w:hAnsi="Calibri" w:cs="Times New Roman"/>
          <w:b/>
          <w:kern w:val="2"/>
          <w:sz w:val="21"/>
          <w:szCs w:val="21"/>
          <w:lang w:val="en-US" w:bidi="ar-SA"/>
        </w:rPr>
      </w:pPr>
      <w:r>
        <w:rPr>
          <w:rFonts w:hint="eastAsia"/>
          <w:lang w:val="en-US"/>
        </w:rPr>
        <w:t>洗选楼二层实施技术方案布局图</w:t>
      </w:r>
    </w:p>
    <w:p w14:paraId="03DFD793">
      <w:pPr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0" w:beforeLines="100" w:after="300" w:afterLines="100" w:line="240" w:lineRule="auto"/>
        <w:jc w:val="both"/>
        <w:textAlignment w:val="auto"/>
        <w:outlineLvl w:val="2"/>
        <w:rPr>
          <w:rFonts w:hint="eastAsia" w:ascii="Calibri" w:hAnsi="Calibri" w:cs="Times New Roman"/>
          <w:b/>
          <w:kern w:val="2"/>
          <w:sz w:val="32"/>
          <w:szCs w:val="32"/>
          <w:lang w:val="en-US" w:eastAsia="zh-CN" w:bidi="ar-SA"/>
        </w:rPr>
      </w:pPr>
      <w:r>
        <w:rPr>
          <w:rFonts w:hint="eastAsia" w:ascii="Calibri" w:hAnsi="Calibri" w:cs="Times New Roman"/>
          <w:b/>
          <w:kern w:val="2"/>
          <w:sz w:val="32"/>
          <w:szCs w:val="32"/>
          <w:lang w:val="en-US" w:eastAsia="zh-CN" w:bidi="ar-SA"/>
        </w:rPr>
        <w:t>2.1 取样系统组成</w:t>
      </w:r>
    </w:p>
    <w:p w14:paraId="725134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jc w:val="both"/>
        <w:textAlignment w:val="auto"/>
        <w:rPr>
          <w:rFonts w:hint="default" w:ascii="Calibri" w:hAnsi="Calibri" w:cs="Times New Roman"/>
          <w:b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cs="Times New Roman"/>
          <w:sz w:val="28"/>
          <w:szCs w:val="28"/>
          <w:lang w:val="en-US"/>
        </w:rPr>
        <w:t>取样系统包含：取样器、矿浆输送箱、电控气控阀门、控制柜及空压机等。</w:t>
      </w:r>
    </w:p>
    <w:p w14:paraId="0A9806B2">
      <w:pPr>
        <w:autoSpaceDE/>
        <w:autoSpaceDN/>
        <w:spacing w:before="240" w:beforeLines="100" w:after="240" w:afterLines="100" w:line="360" w:lineRule="auto"/>
        <w:ind w:firstLine="440" w:firstLineChars="200"/>
        <w:jc w:val="center"/>
      </w:pPr>
      <w:r>
        <w:drawing>
          <wp:inline distT="0" distB="0" distL="0" distR="0">
            <wp:extent cx="3959860" cy="2879725"/>
            <wp:effectExtent l="9525" t="9525" r="23495" b="21590"/>
            <wp:docPr id="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879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458E5E">
      <w:pPr>
        <w:autoSpaceDE/>
        <w:autoSpaceDN/>
        <w:spacing w:line="360" w:lineRule="auto"/>
        <w:ind w:firstLine="440" w:firstLineChars="200"/>
        <w:jc w:val="center"/>
        <w:rPr>
          <w:lang w:val="en-US"/>
        </w:rPr>
      </w:pPr>
      <w:r>
        <w:rPr>
          <w:rFonts w:hint="eastAsia"/>
          <w:lang w:val="en-US"/>
        </w:rPr>
        <w:t>取样器及矿浆输送箱设计方案图</w:t>
      </w:r>
    </w:p>
    <w:p w14:paraId="58736C5C">
      <w:pPr>
        <w:spacing w:before="240" w:beforeLines="100" w:after="240" w:afterLines="100"/>
        <w:ind w:firstLine="440" w:firstLineChars="200"/>
        <w:jc w:val="center"/>
      </w:pPr>
      <w:r>
        <w:drawing>
          <wp:inline distT="0" distB="0" distL="0" distR="0">
            <wp:extent cx="3959860" cy="2879725"/>
            <wp:effectExtent l="9525" t="9525" r="23495" b="21590"/>
            <wp:docPr id="6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879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10F8CF">
      <w:pPr>
        <w:ind w:firstLine="440" w:firstLineChars="200"/>
        <w:jc w:val="center"/>
      </w:pPr>
      <w:r>
        <w:rPr>
          <w:rFonts w:hint="eastAsia"/>
          <w:lang w:val="en-US"/>
        </w:rPr>
        <w:t>主机及</w:t>
      </w:r>
      <w:r>
        <w:rPr>
          <w:rFonts w:hint="eastAsia"/>
        </w:rPr>
        <w:t>返浆</w:t>
      </w:r>
      <w:r>
        <w:t>桶</w:t>
      </w:r>
      <w:r>
        <w:rPr>
          <w:rFonts w:hint="eastAsia"/>
          <w:lang w:val="en-US"/>
        </w:rPr>
        <w:t>设计方案</w:t>
      </w:r>
      <w:r>
        <w:t>图</w:t>
      </w:r>
    </w:p>
    <w:p w14:paraId="292612EA">
      <w:pPr>
        <w:jc w:val="center"/>
      </w:pPr>
    </w:p>
    <w:p w14:paraId="34B05C32">
      <w:pPr>
        <w:jc w:val="center"/>
      </w:pPr>
    </w:p>
    <w:p w14:paraId="6CCDC50D">
      <w:pPr>
        <w:jc w:val="both"/>
      </w:pPr>
    </w:p>
    <w:p w14:paraId="2D0D6A3A">
      <w:pPr>
        <w:jc w:val="both"/>
      </w:pPr>
    </w:p>
    <w:p w14:paraId="76B0F920">
      <w:pPr>
        <w:spacing w:before="240" w:beforeLines="100" w:after="240" w:afterLines="100"/>
        <w:ind w:firstLine="440" w:firstLineChars="200"/>
        <w:jc w:val="center"/>
      </w:pPr>
      <w:r>
        <w:rPr>
          <w:rFonts w:hint="eastAsia"/>
          <w:lang w:val="en-US"/>
        </w:rPr>
        <w:t xml:space="preserve">    </w:t>
      </w:r>
      <w:r>
        <w:drawing>
          <wp:inline distT="0" distB="0" distL="0" distR="0">
            <wp:extent cx="3959860" cy="2879725"/>
            <wp:effectExtent l="9525" t="9525" r="23495" b="21590"/>
            <wp:docPr id="11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879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523A74">
      <w:pPr>
        <w:ind w:firstLine="440" w:firstLineChars="200"/>
        <w:jc w:val="center"/>
      </w:pPr>
      <w:r>
        <w:rPr>
          <w:rFonts w:hint="eastAsia"/>
          <w:lang w:val="en-US"/>
        </w:rPr>
        <w:t>控制</w:t>
      </w:r>
      <w:r>
        <w:rPr>
          <w:rFonts w:hint="eastAsia"/>
        </w:rPr>
        <w:t>阀体</w:t>
      </w:r>
      <w:r>
        <w:t>连接</w:t>
      </w:r>
      <w:r>
        <w:rPr>
          <w:rFonts w:hint="eastAsia"/>
          <w:lang w:val="en-US"/>
        </w:rPr>
        <w:t>设计方案</w:t>
      </w:r>
      <w:r>
        <w:t>图</w:t>
      </w:r>
    </w:p>
    <w:p w14:paraId="339981D5">
      <w:pPr>
        <w:spacing w:before="240" w:beforeLines="100" w:after="240" w:afterLines="100"/>
        <w:ind w:firstLine="440" w:firstLineChars="200"/>
        <w:jc w:val="center"/>
      </w:pPr>
      <w:r>
        <w:rPr>
          <w:rFonts w:hint="eastAsia"/>
          <w:lang w:val="en-US"/>
        </w:rPr>
        <w:t xml:space="preserve">    </w:t>
      </w:r>
      <w:r>
        <w:drawing>
          <wp:inline distT="0" distB="0" distL="0" distR="0">
            <wp:extent cx="3959860" cy="2700020"/>
            <wp:effectExtent l="9525" t="9525" r="23495" b="18415"/>
            <wp:docPr id="12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700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168E70">
      <w:pPr>
        <w:spacing w:before="240" w:beforeLines="100" w:after="240" w:afterLines="100"/>
        <w:ind w:firstLine="440" w:firstLineChars="200"/>
        <w:jc w:val="center"/>
        <w:rPr>
          <w:rFonts w:hint="eastAsia"/>
          <w:lang w:val="en-US"/>
        </w:rPr>
      </w:pPr>
      <w:r>
        <w:rPr>
          <w:rFonts w:hint="eastAsia"/>
          <w:lang w:val="en-US"/>
        </w:rPr>
        <w:t>进浆管道设计方案图</w:t>
      </w:r>
    </w:p>
    <w:p w14:paraId="33633229">
      <w:pPr>
        <w:autoSpaceDE/>
        <w:autoSpaceDN/>
        <w:spacing w:line="400" w:lineRule="exact"/>
        <w:ind w:firstLine="482" w:firstLineChars="200"/>
        <w:jc w:val="both"/>
        <w:rPr>
          <w:rFonts w:ascii="Times New Roman" w:hAnsi="Times New Roman" w:cs="Times New Roman"/>
          <w:b/>
          <w:bCs/>
          <w:kern w:val="2"/>
          <w:sz w:val="24"/>
          <w:szCs w:val="24"/>
          <w:lang w:val="en-US" w:bidi="ar-SA"/>
        </w:rPr>
      </w:pPr>
      <w:r>
        <w:rPr>
          <w:rFonts w:ascii="Times New Roman" w:hAnsi="Times New Roman" w:cs="Times New Roman"/>
          <w:b/>
          <w:bCs/>
          <w:kern w:val="2"/>
          <w:sz w:val="24"/>
          <w:szCs w:val="24"/>
          <w:lang w:val="en-US" w:bidi="ar-SA"/>
        </w:rPr>
        <w:t>测量流程：</w:t>
      </w:r>
    </w:p>
    <w:p w14:paraId="7F880FB4">
      <w:pPr>
        <w:numPr>
          <w:ilvl w:val="0"/>
          <w:numId w:val="3"/>
        </w:numPr>
        <w:autoSpaceDE/>
        <w:autoSpaceDN/>
        <w:spacing w:line="500" w:lineRule="exact"/>
        <w:ind w:left="0" w:firstLine="480" w:firstLineChars="200"/>
        <w:jc w:val="both"/>
        <w:rPr>
          <w:rFonts w:ascii="Times New Roman" w:hAnsi="Times New Roman" w:cs="Times New Roman"/>
          <w:kern w:val="2"/>
          <w:sz w:val="24"/>
          <w:szCs w:val="24"/>
          <w:lang w:val="en-US" w:bidi="ar-SA"/>
        </w:rPr>
      </w:pP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取样器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动作在人工取样点进行自动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取样，将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煤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浆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接入到矿浆输送箱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。</w:t>
      </w:r>
    </w:p>
    <w:p w14:paraId="21CF712A">
      <w:pPr>
        <w:numPr>
          <w:ilvl w:val="0"/>
          <w:numId w:val="3"/>
        </w:numPr>
        <w:autoSpaceDE/>
        <w:autoSpaceDN/>
        <w:spacing w:line="500" w:lineRule="exact"/>
        <w:ind w:left="0" w:firstLine="480" w:firstLineChars="200"/>
        <w:jc w:val="both"/>
        <w:rPr>
          <w:rFonts w:ascii="Times New Roman" w:hAnsi="Times New Roman" w:cs="Times New Roman"/>
          <w:kern w:val="2"/>
          <w:sz w:val="24"/>
          <w:szCs w:val="24"/>
          <w:lang w:val="en-US" w:bidi="ar-SA"/>
        </w:rPr>
      </w:pP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进入矿浆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输送箱的样品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进行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浓度稀释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，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由入浆泵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经过进浆管进入X荧光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智能矿浆灰分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分析仪。</w:t>
      </w:r>
    </w:p>
    <w:p w14:paraId="4A0BD5FA">
      <w:pPr>
        <w:numPr>
          <w:ilvl w:val="0"/>
          <w:numId w:val="3"/>
        </w:numPr>
        <w:autoSpaceDE/>
        <w:autoSpaceDN/>
        <w:spacing w:line="500" w:lineRule="exact"/>
        <w:ind w:left="0" w:firstLine="480" w:firstLineChars="200"/>
        <w:jc w:val="both"/>
        <w:rPr>
          <w:rFonts w:hint="default"/>
          <w:lang w:val="en-US" w:eastAsia="zh-CN"/>
        </w:rPr>
      </w:pP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测量后的矿浆及矿粉经过X荧光主机排矿管道排至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返浆桶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，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在由返浆桶</w:t>
      </w:r>
      <w:r>
        <w:rPr>
          <w:rFonts w:ascii="Times New Roman" w:hAnsi="Times New Roman" w:cs="Times New Roman"/>
          <w:kern w:val="2"/>
          <w:sz w:val="24"/>
          <w:szCs w:val="24"/>
          <w:lang w:val="en-US" w:bidi="ar-SA"/>
        </w:rPr>
        <w:t>输送至</w:t>
      </w:r>
      <w:r>
        <w:rPr>
          <w:rFonts w:hint="eastAsia" w:ascii="Times New Roman" w:hAnsi="Times New Roman" w:cs="Times New Roman"/>
          <w:kern w:val="2"/>
          <w:sz w:val="24"/>
          <w:szCs w:val="24"/>
          <w:lang w:val="en-US" w:bidi="ar-SA"/>
        </w:rPr>
        <w:t>精矿池。</w:t>
      </w:r>
    </w:p>
    <w:p w14:paraId="1F422EFE">
      <w:pPr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60" w:line="413" w:lineRule="auto"/>
        <w:jc w:val="both"/>
        <w:textAlignment w:val="auto"/>
        <w:outlineLvl w:val="2"/>
        <w:rPr>
          <w:rFonts w:hint="eastAsia" w:ascii="Calibri" w:hAnsi="Calibri" w:cs="Times New Roman"/>
          <w:b/>
          <w:kern w:val="2"/>
          <w:sz w:val="28"/>
          <w:szCs w:val="28"/>
          <w:lang w:val="en-US" w:eastAsia="zh-CN" w:bidi="ar-SA"/>
        </w:rPr>
      </w:pPr>
      <w:r>
        <w:rPr>
          <w:rFonts w:hint="eastAsia" w:ascii="Calibri" w:hAnsi="Calibri" w:cs="Times New Roman"/>
          <w:b/>
          <w:kern w:val="2"/>
          <w:sz w:val="32"/>
          <w:szCs w:val="32"/>
          <w:lang w:val="en-US" w:eastAsia="zh-CN" w:bidi="ar-SA"/>
        </w:rPr>
        <w:t>2.2 主</w:t>
      </w:r>
      <w:r>
        <w:rPr>
          <w:rFonts w:hint="eastAsia" w:ascii="Calibri" w:hAnsi="Calibri" w:cs="Times New Roman"/>
          <w:b/>
          <w:kern w:val="2"/>
          <w:sz w:val="28"/>
          <w:szCs w:val="28"/>
          <w:lang w:val="en-US" w:eastAsia="zh-CN" w:bidi="ar-SA"/>
        </w:rPr>
        <w:t>机系统组成</w:t>
      </w:r>
    </w:p>
    <w:p w14:paraId="4275A2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val="en-US" w:eastAsia="zh-CN"/>
        </w:rPr>
        <w:t>X荧光智能矿浆灰分分析仪主要是用于测定物质中灰分含量的设备，</w:t>
      </w:r>
      <w:r>
        <w:rPr>
          <w:rFonts w:hint="eastAsia"/>
          <w:sz w:val="28"/>
          <w:szCs w:val="28"/>
        </w:rPr>
        <w:t>通过泥浆水分多级降低处理，多通道同时检测时，通过检样搬运调度系统，提高检测效率且保证检测精度范围</w:t>
      </w:r>
      <w:r>
        <w:rPr>
          <w:rFonts w:hint="eastAsia"/>
          <w:sz w:val="28"/>
          <w:szCs w:val="28"/>
          <w:lang w:eastAsia="zh-CN"/>
        </w:rPr>
        <w:t>。</w:t>
      </w:r>
    </w:p>
    <w:p w14:paraId="410CA1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采用X射线透射吸收效应光源及传感器，搭配样品预制设备、结合上位机软件，对灰分进行数据采集、分析与处理</w:t>
      </w:r>
      <w:r>
        <w:rPr>
          <w:rFonts w:hint="eastAsia"/>
          <w:sz w:val="28"/>
          <w:szCs w:val="28"/>
          <w:lang w:eastAsia="zh-CN"/>
        </w:rPr>
        <w:t>。</w:t>
      </w:r>
    </w:p>
    <w:p w14:paraId="6EF2091F">
      <w:pPr>
        <w:pStyle w:val="16"/>
        <w:spacing w:after="0"/>
        <w:ind w:left="0" w:leftChars="0" w:firstLine="0"/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414520" cy="3564255"/>
            <wp:effectExtent l="0" t="0" r="5080" b="1905"/>
            <wp:docPr id="13" name="图片 13" descr="3073ee7021d108a8c514041fa85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073ee7021d108a8c514041fa85354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14520" cy="35642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11E15">
      <w:pPr>
        <w:pStyle w:val="16"/>
        <w:spacing w:after="0"/>
        <w:ind w:left="0" w:leftChars="0" w:firstLine="0"/>
        <w:jc w:val="center"/>
        <w:rPr>
          <w:rFonts w:hint="eastAsia"/>
          <w:lang w:eastAsia="zh-CN"/>
        </w:rPr>
      </w:pPr>
    </w:p>
    <w:p w14:paraId="010A61BA">
      <w:pPr>
        <w:pStyle w:val="16"/>
        <w:spacing w:after="0"/>
        <w:ind w:left="0" w:leftChars="0" w:firstLine="0"/>
        <w:jc w:val="center"/>
        <w:rPr>
          <w:rFonts w:hint="eastAsia"/>
          <w:lang w:val="en-US" w:eastAsia="zh-CN"/>
        </w:rPr>
      </w:pPr>
    </w:p>
    <w:p w14:paraId="5973F27A">
      <w:pPr>
        <w:pStyle w:val="16"/>
        <w:rPr>
          <w:rFonts w:hint="eastAsia"/>
          <w:lang w:val="en-US" w:eastAsia="zh-CN"/>
        </w:rPr>
      </w:pPr>
    </w:p>
    <w:p w14:paraId="7899197A">
      <w:pPr>
        <w:pStyle w:val="25"/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ascii="Calibri" w:hAnsi="Calibri" w:cs="Times New Roman"/>
          <w:b/>
          <w:kern w:val="2"/>
          <w:sz w:val="28"/>
          <w:szCs w:val="28"/>
          <w:lang w:val="en-US" w:eastAsia="zh-CN" w:bidi="ar-SA"/>
        </w:rPr>
      </w:pPr>
      <w:r>
        <w:rPr>
          <w:rFonts w:hint="eastAsia"/>
          <w:b/>
          <w:bCs w:val="0"/>
          <w:sz w:val="28"/>
          <w:szCs w:val="28"/>
          <w:lang w:val="en-US" w:eastAsia="zh-CN"/>
        </w:rPr>
        <w:t>制样单元</w:t>
      </w:r>
      <w:r>
        <w:rPr>
          <w:rFonts w:hint="eastAsia"/>
          <w:b/>
          <w:bCs w:val="0"/>
          <w:sz w:val="28"/>
          <w:szCs w:val="28"/>
        </w:rPr>
        <w:t>:</w:t>
      </w:r>
      <w:r>
        <w:rPr>
          <w:rFonts w:hint="eastAsia"/>
          <w:b/>
          <w:bCs w:val="0"/>
          <w:sz w:val="28"/>
          <w:szCs w:val="28"/>
          <w:lang w:val="en-US" w:eastAsia="zh-CN"/>
        </w:rPr>
        <w:t xml:space="preserve"> </w:t>
      </w:r>
      <w:r>
        <w:rPr>
          <w:rFonts w:hint="eastAsia"/>
          <w:sz w:val="28"/>
          <w:szCs w:val="28"/>
          <w:lang w:val="en-US" w:eastAsia="zh-CN"/>
        </w:rPr>
        <w:t>将矿浆制成固态饼式，包含了脱水、烘干、搅拌及压制等功能；</w:t>
      </w:r>
    </w:p>
    <w:p w14:paraId="1B7D03E7">
      <w:pPr>
        <w:pStyle w:val="25"/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ascii="Calibri" w:hAnsi="Calibri" w:cs="Times New Roman"/>
          <w:b w:val="0"/>
          <w:bCs/>
          <w:kern w:val="2"/>
          <w:sz w:val="28"/>
          <w:szCs w:val="28"/>
          <w:lang w:val="en-US" w:eastAsia="zh-CN" w:bidi="ar-SA"/>
        </w:rPr>
      </w:pPr>
      <w:r>
        <w:rPr>
          <w:rFonts w:hint="eastAsia"/>
          <w:b/>
          <w:bCs w:val="0"/>
          <w:sz w:val="28"/>
          <w:szCs w:val="28"/>
          <w:lang w:val="en-US" w:eastAsia="zh-CN"/>
        </w:rPr>
        <w:t>送检</w:t>
      </w:r>
      <w:r>
        <w:rPr>
          <w:rFonts w:hint="eastAsia"/>
          <w:b/>
          <w:bCs w:val="0"/>
          <w:sz w:val="28"/>
          <w:szCs w:val="28"/>
        </w:rPr>
        <w:t>单元</w:t>
      </w:r>
      <w:r>
        <w:rPr>
          <w:rFonts w:hint="eastAsia"/>
          <w:b/>
          <w:bCs w:val="0"/>
          <w:sz w:val="28"/>
          <w:szCs w:val="28"/>
          <w:lang w:eastAsia="zh-CN"/>
        </w:rPr>
        <w:t>：</w:t>
      </w:r>
      <w:r>
        <w:rPr>
          <w:rFonts w:hint="eastAsia"/>
          <w:b w:val="0"/>
          <w:bCs/>
          <w:sz w:val="28"/>
          <w:szCs w:val="28"/>
          <w:lang w:val="en-US" w:eastAsia="zh-CN"/>
        </w:rPr>
        <w:t>将制好的样品送至检测单元，检测完成后将样品放到提料位完成抛废；</w:t>
      </w:r>
    </w:p>
    <w:p w14:paraId="6A22E56F">
      <w:pPr>
        <w:pStyle w:val="25"/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sz w:val="28"/>
          <w:szCs w:val="28"/>
        </w:rPr>
      </w:pPr>
      <w:r>
        <w:rPr>
          <w:rFonts w:hint="eastAsia"/>
          <w:b/>
          <w:bCs w:val="0"/>
          <w:sz w:val="28"/>
          <w:szCs w:val="28"/>
        </w:rPr>
        <w:t>检测单元：</w:t>
      </w:r>
      <w:r>
        <w:rPr>
          <w:rFonts w:hint="eastAsia"/>
          <w:sz w:val="28"/>
          <w:szCs w:val="28"/>
        </w:rPr>
        <w:t>主要包含</w:t>
      </w:r>
      <w:r>
        <w:rPr>
          <w:rFonts w:hint="eastAsia"/>
          <w:sz w:val="28"/>
          <w:szCs w:val="28"/>
          <w:lang w:val="en-US" w:eastAsia="zh-CN"/>
        </w:rPr>
        <w:t>XRF</w:t>
      </w:r>
      <w:r>
        <w:rPr>
          <w:rFonts w:hint="eastAsia"/>
          <w:sz w:val="28"/>
          <w:szCs w:val="28"/>
        </w:rPr>
        <w:t>光源和传感器；</w:t>
      </w:r>
    </w:p>
    <w:p w14:paraId="0CBDDC99">
      <w:pPr>
        <w:pStyle w:val="25"/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sz w:val="28"/>
          <w:szCs w:val="28"/>
        </w:rPr>
      </w:pPr>
      <w:r>
        <w:rPr>
          <w:rFonts w:hint="eastAsia"/>
          <w:b/>
          <w:bCs w:val="0"/>
          <w:sz w:val="28"/>
          <w:szCs w:val="28"/>
          <w:lang w:val="en-US" w:eastAsia="zh-CN"/>
        </w:rPr>
        <w:t>上位机软件</w:t>
      </w:r>
      <w:r>
        <w:rPr>
          <w:rFonts w:hint="eastAsia"/>
          <w:b/>
          <w:bCs w:val="0"/>
          <w:sz w:val="28"/>
          <w:szCs w:val="28"/>
        </w:rPr>
        <w:t>：</w:t>
      </w:r>
      <w:r>
        <w:rPr>
          <w:rFonts w:hint="eastAsia"/>
          <w:sz w:val="28"/>
          <w:szCs w:val="28"/>
          <w:lang w:val="en-US" w:eastAsia="zh-CN"/>
        </w:rPr>
        <w:t>人机交互，主要操作设备的界面</w:t>
      </w:r>
      <w:r>
        <w:rPr>
          <w:rFonts w:hint="eastAsia"/>
          <w:sz w:val="28"/>
          <w:szCs w:val="28"/>
        </w:rPr>
        <w:t>；</w:t>
      </w:r>
    </w:p>
    <w:p w14:paraId="0D3FFECA">
      <w:pPr>
        <w:pStyle w:val="25"/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hanging="420" w:firstLineChars="0"/>
        <w:textAlignment w:val="auto"/>
        <w:rPr>
          <w:rFonts w:hint="eastAsia" w:ascii="Calibri" w:hAnsi="Calibri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/>
          <w:b/>
          <w:bCs w:val="0"/>
          <w:sz w:val="28"/>
          <w:szCs w:val="28"/>
          <w:lang w:val="en-US" w:eastAsia="zh-CN"/>
        </w:rPr>
        <w:t>电气控制</w:t>
      </w:r>
      <w:r>
        <w:rPr>
          <w:rFonts w:hint="eastAsia"/>
          <w:b/>
          <w:bCs w:val="0"/>
          <w:sz w:val="28"/>
          <w:szCs w:val="28"/>
        </w:rPr>
        <w:t>：</w:t>
      </w:r>
      <w:r>
        <w:rPr>
          <w:rFonts w:hint="eastAsia"/>
          <w:b w:val="0"/>
          <w:bCs/>
          <w:sz w:val="28"/>
          <w:szCs w:val="28"/>
          <w:lang w:val="en-US" w:eastAsia="zh-CN"/>
        </w:rPr>
        <w:t>逻辑程序；</w:t>
      </w:r>
    </w:p>
    <w:p w14:paraId="204A6B5F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2.2.1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外形尺寸</w:t>
      </w:r>
    </w:p>
    <w:p w14:paraId="7965AC3B">
      <w:pPr>
        <w:pStyle w:val="35"/>
        <w:rPr>
          <w:rFonts w:hint="eastAsia" w:eastAsia="黑体" w:cs="Times New Roman"/>
          <w:b/>
          <w:kern w:val="2"/>
          <w:sz w:val="32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5162550" cy="2658745"/>
            <wp:effectExtent l="0" t="0" r="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00211" cy="267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78339">
      <w:pPr>
        <w:pStyle w:val="35"/>
        <w:rPr>
          <w:rFonts w:hint="eastAsia" w:eastAsia="黑体" w:cs="Times New Roman"/>
          <w:b/>
          <w:kern w:val="2"/>
          <w:sz w:val="32"/>
          <w:szCs w:val="24"/>
          <w:lang w:val="en-US" w:bidi="ar-SA"/>
        </w:rPr>
      </w:pPr>
    </w:p>
    <w:p w14:paraId="78CE2272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2.2.2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基本参数</w:t>
      </w:r>
    </w:p>
    <w:tbl>
      <w:tblPr>
        <w:tblStyle w:val="17"/>
        <w:tblpPr w:leftFromText="180" w:rightFromText="180" w:vertAnchor="text" w:horzAnchor="page" w:tblpXSpec="center" w:tblpY="247"/>
        <w:tblOverlap w:val="never"/>
        <w:tblW w:w="8647" w:type="dxa"/>
        <w:tblInd w:w="0" w:type="dxa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05"/>
        <w:gridCol w:w="5908"/>
        <w:gridCol w:w="1134"/>
      </w:tblGrid>
      <w:tr w14:paraId="4E985D90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6B16C458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型号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7311620D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LXAD-100-02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099717DC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单位</w:t>
            </w:r>
          </w:p>
        </w:tc>
      </w:tr>
      <w:tr w14:paraId="1E744800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650EA1E4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设备功率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106DEB76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774D233B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Kw</w:t>
            </w:r>
          </w:p>
        </w:tc>
      </w:tr>
      <w:tr w14:paraId="24313FB0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9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6CE943FD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电源电压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16F0E4B2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380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5E5C68C1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V</w:t>
            </w:r>
          </w:p>
        </w:tc>
      </w:tr>
      <w:tr w14:paraId="58AFCA7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6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25CB069C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通信方式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772CC436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Modbus TCP、OPC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78351B1E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--</w:t>
            </w:r>
          </w:p>
        </w:tc>
      </w:tr>
      <w:tr w14:paraId="6BE32E0E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28E04F67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环境温度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4D399730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0～50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2AAD11CF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℃</w:t>
            </w:r>
          </w:p>
        </w:tc>
      </w:tr>
      <w:tr w14:paraId="46418E08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32DBE4A7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精度偏差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221E8E40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</w:rPr>
              <w:t>灰分检测绝对值误差为：≤±0.4%；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74A8B918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--</w:t>
            </w:r>
          </w:p>
        </w:tc>
      </w:tr>
      <w:tr w14:paraId="4238DC31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9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6286D8C6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冲洗水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37FEB0D2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0.1～0.5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5E7CC4EA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Mpa</w:t>
            </w:r>
          </w:p>
        </w:tc>
      </w:tr>
      <w:tr w14:paraId="1F0D97B0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3E43F5ED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浓度范围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2BE1B3BF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0～75％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70346B56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wt</w:t>
            </w:r>
          </w:p>
        </w:tc>
      </w:tr>
      <w:tr w14:paraId="694C5BE9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6EEF3471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检测时间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44B15066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8～10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762B3216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Min/次</w:t>
            </w:r>
          </w:p>
        </w:tc>
      </w:tr>
      <w:tr w14:paraId="1B9AAE4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0B4426CA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检测频率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58C2D681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按需设置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033F37A9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次/h</w:t>
            </w:r>
          </w:p>
        </w:tc>
      </w:tr>
      <w:tr w14:paraId="2B69431B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9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3018DF22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主机尺寸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5BC0AFAE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3000×1735×2200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 w14:paraId="6A32FF61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mm</w:t>
            </w:r>
          </w:p>
        </w:tc>
      </w:tr>
      <w:tr w14:paraId="0778F17A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3" w:hRule="exact"/>
        </w:trPr>
        <w:tc>
          <w:tcPr>
            <w:tcW w:w="1605" w:type="dxa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vAlign w:val="center"/>
          </w:tcPr>
          <w:p w14:paraId="014679A8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主机重量</w:t>
            </w:r>
          </w:p>
        </w:tc>
        <w:tc>
          <w:tcPr>
            <w:tcW w:w="5908" w:type="dxa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vAlign w:val="center"/>
          </w:tcPr>
          <w:p w14:paraId="2845CBAB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2300</w:t>
            </w:r>
          </w:p>
        </w:tc>
        <w:tc>
          <w:tcPr>
            <w:tcW w:w="1134" w:type="dxa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vAlign w:val="center"/>
          </w:tcPr>
          <w:p w14:paraId="4B0ED7F2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Kg</w:t>
            </w:r>
          </w:p>
        </w:tc>
      </w:tr>
    </w:tbl>
    <w:p w14:paraId="0B6276E7">
      <w:pPr>
        <w:pStyle w:val="35"/>
        <w:rPr>
          <w:rFonts w:hint="eastAsia" w:eastAsia="黑体" w:cs="Times New Roman"/>
          <w:b/>
          <w:kern w:val="2"/>
          <w:sz w:val="32"/>
          <w:szCs w:val="24"/>
          <w:lang w:val="en-US" w:bidi="ar-SA"/>
        </w:rPr>
      </w:pPr>
    </w:p>
    <w:p w14:paraId="7EA39BBB">
      <w:pPr>
        <w:pStyle w:val="35"/>
        <w:rPr>
          <w:rFonts w:hint="eastAsia" w:eastAsia="黑体" w:cs="Times New Roman"/>
          <w:b/>
          <w:kern w:val="2"/>
          <w:sz w:val="32"/>
          <w:szCs w:val="24"/>
          <w:lang w:val="en-US" w:bidi="ar-SA"/>
        </w:rPr>
      </w:pPr>
    </w:p>
    <w:p w14:paraId="2D098645">
      <w:pPr>
        <w:autoSpaceDE/>
        <w:autoSpaceDN/>
        <w:jc w:val="both"/>
        <w:rPr>
          <w:rFonts w:ascii="Calibri" w:hAnsi="Calibri" w:cs="Times New Roman"/>
          <w:kern w:val="2"/>
          <w:sz w:val="21"/>
          <w:szCs w:val="24"/>
          <w:lang w:val="en-US" w:bidi="ar-SA"/>
        </w:rPr>
      </w:pPr>
    </w:p>
    <w:p w14:paraId="74EFAC5B">
      <w:pPr>
        <w:keepNext/>
        <w:keepLines/>
        <w:numPr>
          <w:ilvl w:val="0"/>
          <w:numId w:val="1"/>
        </w:numPr>
        <w:spacing w:before="260" w:after="260" w:line="413" w:lineRule="auto"/>
        <w:jc w:val="both"/>
        <w:outlineLvl w:val="1"/>
        <w:rPr>
          <w:rFonts w:ascii="Arial" w:hAnsi="Arial" w:eastAsia="黑体" w:cs="Times New Roman"/>
          <w:b/>
          <w:kern w:val="2"/>
          <w:sz w:val="32"/>
          <w:szCs w:val="24"/>
          <w:lang w:val="en-US" w:bidi="ar-SA"/>
        </w:rPr>
      </w:pPr>
      <w:bookmarkStart w:id="6" w:name="_Toc3808"/>
      <w:bookmarkStart w:id="7" w:name="_Toc26081"/>
      <w:bookmarkStart w:id="8" w:name="_Toc5325"/>
      <w:bookmarkStart w:id="9" w:name="_Toc20861"/>
      <w:bookmarkStart w:id="10" w:name="_Toc26386"/>
      <w:bookmarkStart w:id="11" w:name="_Toc22631"/>
      <w:bookmarkStart w:id="12" w:name="_Toc2170"/>
      <w:r>
        <w:rPr>
          <w:rFonts w:hint="eastAsia" w:ascii="Arial" w:hAnsi="Arial" w:eastAsia="黑体" w:cs="Times New Roman"/>
          <w:b/>
          <w:kern w:val="2"/>
          <w:sz w:val="32"/>
          <w:szCs w:val="24"/>
          <w:lang w:val="en-US" w:bidi="ar-SA"/>
        </w:rPr>
        <w:t>分析仪界面</w:t>
      </w:r>
      <w:bookmarkEnd w:id="6"/>
      <w:bookmarkEnd w:id="7"/>
      <w:bookmarkEnd w:id="8"/>
      <w:r>
        <w:rPr>
          <w:rFonts w:hint="eastAsia" w:ascii="Arial" w:hAnsi="Arial" w:eastAsia="黑体" w:cs="Times New Roman"/>
          <w:b/>
          <w:kern w:val="2"/>
          <w:sz w:val="32"/>
          <w:szCs w:val="24"/>
          <w:lang w:val="en-US" w:bidi="ar-SA"/>
        </w:rPr>
        <w:t>功能与操作</w:t>
      </w:r>
      <w:bookmarkEnd w:id="9"/>
    </w:p>
    <w:p w14:paraId="1551A744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>3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>.</w:t>
      </w:r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>1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 xml:space="preserve">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设备上电流程</w:t>
      </w:r>
    </w:p>
    <w:p w14:paraId="1079225A">
      <w:pPr>
        <w:numPr>
          <w:ilvl w:val="0"/>
          <w:numId w:val="5"/>
        </w:numPr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闭合配电箱中的主断路器，如图下图所示：</w:t>
      </w:r>
    </w:p>
    <w:p w14:paraId="03952972">
      <w:pPr>
        <w:rPr>
          <w:sz w:val="24"/>
          <w:szCs w:val="24"/>
          <w:lang w:val="en-US"/>
        </w:rPr>
      </w:pPr>
    </w:p>
    <w:p w14:paraId="48A7D55D">
      <w:pPr>
        <w:jc w:val="center"/>
        <w:rPr>
          <w:sz w:val="24"/>
          <w:szCs w:val="24"/>
          <w:lang w:val="en-US"/>
        </w:rPr>
      </w:pPr>
      <w:r>
        <w:rPr>
          <w:rFonts w:hint="eastAsia"/>
          <w:sz w:val="24"/>
          <w:lang w:val="en-US" w:bidi="ar-SA"/>
        </w:rPr>
        <w:drawing>
          <wp:inline distT="0" distB="0" distL="114300" distR="114300">
            <wp:extent cx="2661285" cy="1995170"/>
            <wp:effectExtent l="0" t="0" r="5715" b="1270"/>
            <wp:docPr id="17" name="图片 17" descr="c49db36652dfcb10ff5680199adcb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49db36652dfcb10ff5680199adcbf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3620C">
      <w:pPr>
        <w:rPr>
          <w:sz w:val="24"/>
          <w:szCs w:val="24"/>
          <w:lang w:val="en-US"/>
        </w:rPr>
      </w:pPr>
    </w:p>
    <w:p w14:paraId="4AC85C40">
      <w:pPr>
        <w:numPr>
          <w:ilvl w:val="0"/>
          <w:numId w:val="5"/>
        </w:numPr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将主机电气柜右后侧的旋转负荷开关转至ON，如图下图所示：</w:t>
      </w:r>
    </w:p>
    <w:p w14:paraId="02C390FE">
      <w:pPr>
        <w:rPr>
          <w:sz w:val="24"/>
          <w:szCs w:val="24"/>
          <w:lang w:val="en-US"/>
        </w:rPr>
      </w:pPr>
    </w:p>
    <w:p w14:paraId="13C6C761">
      <w:pPr>
        <w:jc w:val="center"/>
        <w:rPr>
          <w:sz w:val="24"/>
          <w:szCs w:val="24"/>
          <w:lang w:val="en-US"/>
        </w:rPr>
      </w:pPr>
      <w:r>
        <w:rPr>
          <w:sz w:val="24"/>
          <w:szCs w:val="24"/>
          <w:lang w:val="en-US" w:bidi="ar-SA"/>
        </w:rPr>
        <w:drawing>
          <wp:inline distT="0" distB="0" distL="114300" distR="114300">
            <wp:extent cx="2009775" cy="2323465"/>
            <wp:effectExtent l="0" t="0" r="1905" b="8255"/>
            <wp:docPr id="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16155" cy="233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CC76C">
      <w:pPr>
        <w:jc w:val="center"/>
        <w:rPr>
          <w:sz w:val="24"/>
          <w:szCs w:val="24"/>
          <w:lang w:val="en-US"/>
        </w:rPr>
      </w:pPr>
    </w:p>
    <w:p w14:paraId="77313600">
      <w:pPr>
        <w:numPr>
          <w:ilvl w:val="0"/>
          <w:numId w:val="5"/>
        </w:numPr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将一体机下方的钥匙旋转开关转至ON，如图下图所示：</w:t>
      </w:r>
    </w:p>
    <w:p w14:paraId="4432D00B">
      <w:pPr>
        <w:jc w:val="center"/>
        <w:rPr>
          <w:sz w:val="24"/>
          <w:szCs w:val="24"/>
          <w:lang w:val="en-US"/>
        </w:rPr>
      </w:pPr>
      <w:r>
        <w:rPr>
          <w:sz w:val="24"/>
          <w:szCs w:val="24"/>
          <w:lang w:val="en-US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2258060</wp:posOffset>
                </wp:positionH>
                <wp:positionV relativeFrom="paragraph">
                  <wp:posOffset>692150</wp:posOffset>
                </wp:positionV>
                <wp:extent cx="320675" cy="328930"/>
                <wp:effectExtent l="12700" t="12700" r="17145" b="24130"/>
                <wp:wrapNone/>
                <wp:docPr id="134" name="矩形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3289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7.8pt;margin-top:54.5pt;height:25.9pt;width:25.25pt;z-index:251663360;v-text-anchor:middle;mso-width-relative:page;mso-height-relative:page;" filled="f" stroked="t" coordsize="21600,21600" o:gfxdata="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Et6f5zZAAAACwEAAA8AAAAAAAAAAQAgAAAAIgAAAGRycy9kb3ducmV2LnhtbFBLAQIUABQA&#10;AAAIAIdO4kD6Ro9VYQIAALcEAAAOAAAAAAAAAAEAIAAAACgBAABkcnMvZTJvRG9jLnhtbFBLBQYA&#10;AAAABgAGAFkBAAD7BQAAAAA=&#10;">
                <v:fill on="f" focussize="0,0"/>
                <v:stroke weight="2pt" color="#FF0000 [2404]" joinstyle="round"/>
                <v:imagedata o:title=""/>
                <o:lock v:ext="edit" aspectratio="f"/>
              </v:rect>
            </w:pict>
          </mc:Fallback>
        </mc:AlternateContent>
      </w:r>
      <w:r>
        <w:rPr>
          <w:sz w:val="24"/>
          <w:lang w:val="en-US" w:bidi="ar-SA"/>
        </w:rPr>
        <w:drawing>
          <wp:inline distT="0" distB="0" distL="114300" distR="114300">
            <wp:extent cx="1786255" cy="1786255"/>
            <wp:effectExtent l="0" t="0" r="12065" b="12065"/>
            <wp:docPr id="133" name="图片 133" descr="11f7bb1acf6ef0d6de15198325e8b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11f7bb1acf6ef0d6de15198325e8bc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CB91">
      <w:pPr>
        <w:jc w:val="center"/>
        <w:rPr>
          <w:sz w:val="24"/>
          <w:szCs w:val="24"/>
          <w:lang w:val="en-US"/>
        </w:rPr>
      </w:pPr>
    </w:p>
    <w:p w14:paraId="1447E158">
      <w:pPr>
        <w:numPr>
          <w:ilvl w:val="0"/>
          <w:numId w:val="5"/>
        </w:numPr>
        <w:spacing w:line="360" w:lineRule="auto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根据图纸闭合电气柜内部各个断路器</w:t>
      </w:r>
    </w:p>
    <w:p w14:paraId="76735222">
      <w:pPr>
        <w:spacing w:line="360" w:lineRule="auto"/>
        <w:rPr>
          <w:rFonts w:hint="eastAsia"/>
          <w:sz w:val="28"/>
          <w:szCs w:val="28"/>
          <w:lang w:val="en-US"/>
        </w:rPr>
      </w:pPr>
      <w:r>
        <w:rPr>
          <w:rFonts w:hint="eastAsia"/>
          <w:b/>
          <w:color w:val="auto"/>
          <w:sz w:val="28"/>
          <w:szCs w:val="28"/>
          <w:u w:val="single"/>
          <w:lang w:val="en-US"/>
        </w:rPr>
        <w:t>提示：</w:t>
      </w:r>
      <w:r>
        <w:rPr>
          <w:rFonts w:hint="eastAsia"/>
          <w:sz w:val="28"/>
          <w:szCs w:val="28"/>
          <w:lang w:val="en-US"/>
        </w:rPr>
        <w:t>断路器闭合后，如需设备下电，无需断开各个断路器，在断路器没有单独操作的情况下，设备执行前3步即可完成设备上电。</w:t>
      </w:r>
    </w:p>
    <w:p w14:paraId="15E09F4A">
      <w:pPr>
        <w:pStyle w:val="25"/>
        <w:numPr>
          <w:ilvl w:val="0"/>
          <w:numId w:val="0"/>
        </w:numPr>
        <w:spacing w:line="360" w:lineRule="auto"/>
        <w:ind w:leftChars="0"/>
        <w:rPr>
          <w:sz w:val="28"/>
          <w:szCs w:val="28"/>
        </w:rPr>
      </w:pPr>
      <w:r>
        <w:rPr>
          <w:rFonts w:hint="eastAsia"/>
          <w:sz w:val="28"/>
          <w:szCs w:val="28"/>
          <w:lang w:eastAsia="zh-CN"/>
        </w:rPr>
        <w:t>（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  <w:lang w:eastAsia="zh-CN"/>
        </w:rPr>
        <w:t>）</w:t>
      </w:r>
      <w:r>
        <w:rPr>
          <w:rFonts w:hint="eastAsia"/>
          <w:sz w:val="28"/>
          <w:szCs w:val="28"/>
        </w:rPr>
        <w:t>上电完成后配电箱上红色按钮灯亮起，如下图所示</w:t>
      </w:r>
    </w:p>
    <w:p w14:paraId="1E3A41EE">
      <w:pPr>
        <w:pStyle w:val="25"/>
        <w:spacing w:line="360" w:lineRule="auto"/>
        <w:ind w:left="720" w:firstLine="0"/>
        <w:rPr>
          <w:sz w:val="24"/>
        </w:rPr>
      </w:pPr>
    </w:p>
    <w:p w14:paraId="4633FF99">
      <w:pPr>
        <w:ind w:left="420"/>
        <w:jc w:val="center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2571750" cy="3235325"/>
            <wp:effectExtent l="0" t="0" r="3810" b="10795"/>
            <wp:docPr id="40" name="图片 40" descr="20f5777af7cac883bdb28ff4a21f9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f5777af7cac883bdb28ff4a21f9dd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2378" cy="323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C5CE">
      <w:pPr>
        <w:ind w:left="420"/>
        <w:jc w:val="center"/>
        <w:rPr>
          <w:sz w:val="28"/>
          <w:szCs w:val="28"/>
          <w:lang w:val="en-US"/>
        </w:rPr>
      </w:pPr>
    </w:p>
    <w:p w14:paraId="4C1CC0E1">
      <w:pPr>
        <w:pStyle w:val="25"/>
        <w:numPr>
          <w:ilvl w:val="0"/>
          <w:numId w:val="0"/>
        </w:numPr>
        <w:spacing w:line="360" w:lineRule="auto"/>
        <w:ind w:leftChars="0"/>
        <w:rPr>
          <w:sz w:val="28"/>
          <w:szCs w:val="28"/>
        </w:rPr>
      </w:pPr>
      <w:r>
        <w:rPr>
          <w:rFonts w:hint="eastAsia"/>
          <w:sz w:val="28"/>
          <w:szCs w:val="28"/>
          <w:lang w:eastAsia="zh-CN"/>
        </w:rPr>
        <w:t>（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  <w:lang w:eastAsia="zh-CN"/>
        </w:rPr>
        <w:t>）</w:t>
      </w:r>
      <w:r>
        <w:rPr>
          <w:rFonts w:hint="eastAsia"/>
          <w:sz w:val="28"/>
          <w:szCs w:val="28"/>
        </w:rPr>
        <w:t>灰分分析仪主机的塔灯亮起（绿色为正常；黄色与红色为故障）</w:t>
      </w:r>
    </w:p>
    <w:p w14:paraId="73F22F69">
      <w:pPr>
        <w:ind w:left="420"/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 w:bidi="ar-SA"/>
        </w:rPr>
        <w:drawing>
          <wp:inline distT="0" distB="0" distL="114300" distR="114300">
            <wp:extent cx="1483995" cy="2638425"/>
            <wp:effectExtent l="0" t="0" r="9525" b="13335"/>
            <wp:docPr id="41" name="图片 41" descr="4ad1a52bfba2ece6a44fa13c6fa87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ad1a52bfba2ece6a44fa13c6fa879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8399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11FAA">
      <w:pPr>
        <w:spacing w:line="360" w:lineRule="auto"/>
        <w:rPr>
          <w:rFonts w:hint="eastAsia"/>
          <w:sz w:val="28"/>
          <w:szCs w:val="28"/>
          <w:lang w:val="en-US"/>
        </w:rPr>
      </w:pPr>
    </w:p>
    <w:p w14:paraId="5E3DD50A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3.2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设备开机流程</w:t>
      </w:r>
    </w:p>
    <w:p w14:paraId="75A4E99F">
      <w:pPr>
        <w:numPr>
          <w:ilvl w:val="0"/>
          <w:numId w:val="6"/>
        </w:num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上电后Wincc软件自动启动，分析软件自动启动。</w:t>
      </w:r>
    </w:p>
    <w:p w14:paraId="334B751B">
      <w:pPr>
        <w:autoSpaceDE/>
        <w:autoSpaceDN/>
        <w:spacing w:line="360" w:lineRule="auto"/>
        <w:ind w:firstLine="440" w:firstLineChars="200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114300" distR="114300">
            <wp:extent cx="3983355" cy="3187700"/>
            <wp:effectExtent l="0" t="0" r="9525" b="12700"/>
            <wp:docPr id="14" name="图片 2" descr="D:\svn\ASH\文档\X荧光智能矿浆灰分分析仪_软件界面\首页.png首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 descr="D:\svn\ASH\文档\X荧光智能矿浆灰分分析仪_软件界面\首页.png首页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3355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D42D6">
      <w:pPr>
        <w:autoSpaceDE/>
        <w:autoSpaceDN/>
        <w:spacing w:line="480" w:lineRule="auto"/>
        <w:ind w:firstLine="422" w:firstLineChars="200"/>
        <w:jc w:val="center"/>
        <w:rPr>
          <w:rFonts w:hint="eastAsia"/>
          <w:b/>
          <w:sz w:val="21"/>
        </w:rPr>
      </w:pPr>
      <w:r>
        <w:rPr>
          <w:rFonts w:hint="eastAsia"/>
          <w:b/>
          <w:sz w:val="21"/>
        </w:rPr>
        <w:t>软件首页</w:t>
      </w:r>
    </w:p>
    <w:p w14:paraId="5A4ADD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jc w:val="center"/>
        <w:textAlignment w:val="auto"/>
        <w:rPr>
          <w:sz w:val="24"/>
        </w:rPr>
      </w:pPr>
      <w:r>
        <w:rPr>
          <w:rFonts w:hint="eastAsia"/>
          <w:lang w:val="en-US" w:eastAsia="zh-CN" w:bidi="ar-SA"/>
        </w:rPr>
        <w:t xml:space="preserve">   </w:t>
      </w:r>
      <w:r>
        <w:rPr>
          <w:lang w:val="en-US" w:bidi="ar-SA"/>
        </w:rPr>
        <w:drawing>
          <wp:inline distT="0" distB="0" distL="0" distR="0">
            <wp:extent cx="3950335" cy="2958465"/>
            <wp:effectExtent l="0" t="0" r="12065" b="13335"/>
            <wp:docPr id="33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 preferRelativeResize="0"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754" cy="296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89F65">
      <w:pPr>
        <w:spacing w:line="480" w:lineRule="auto"/>
        <w:jc w:val="center"/>
        <w:rPr>
          <w:rFonts w:hint="eastAsia"/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控制系统手动操作画面</w:t>
      </w:r>
    </w:p>
    <w:p w14:paraId="0DE1921C">
      <w:pPr>
        <w:spacing w:line="480" w:lineRule="auto"/>
        <w:jc w:val="center"/>
        <w:rPr>
          <w:rFonts w:hint="eastAsia"/>
          <w:b/>
          <w:sz w:val="21"/>
          <w:szCs w:val="21"/>
          <w:lang w:val="en-US"/>
        </w:rPr>
      </w:pPr>
    </w:p>
    <w:p w14:paraId="1D64294B">
      <w:pPr>
        <w:numPr>
          <w:ilvl w:val="0"/>
          <w:numId w:val="6"/>
        </w:num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观察Wincc主页面“具备自动制样运行”是否变绿色，绿色才能开始制样。如是灰色，检查搬运伺服是否都已到位，没在初始位置请手动移回；</w:t>
      </w:r>
    </w:p>
    <w:p w14:paraId="006CA95B">
      <w:p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（检查搬运X、Z、C轴、夹爪0位且张开；检测室A、B、X、Y轴；）</w:t>
      </w:r>
    </w:p>
    <w:p w14:paraId="03FCABEC">
      <w:pPr>
        <w:numPr>
          <w:ilvl w:val="0"/>
          <w:numId w:val="6"/>
        </w:num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观察Wincc“上料页面”“具备上料运行条件”是否变绿色；</w:t>
      </w:r>
    </w:p>
    <w:p w14:paraId="36C7416C">
      <w:pPr>
        <w:numPr>
          <w:ilvl w:val="0"/>
          <w:numId w:val="6"/>
        </w:num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观察Wincc“下料页面”“具备下料运行条件”是否变绿色；</w:t>
      </w:r>
    </w:p>
    <w:p w14:paraId="77971A8F">
      <w:pPr>
        <w:numPr>
          <w:ilvl w:val="0"/>
          <w:numId w:val="6"/>
        </w:num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分析软件中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设置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要检测的通道号，再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分析里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点击“启动”按钮，设备开始流程；</w:t>
      </w:r>
    </w:p>
    <w:p w14:paraId="5D145E1F">
      <w:pPr>
        <w:ind w:firstLine="420"/>
        <w:jc w:val="center"/>
        <w:rPr>
          <w:lang w:val="en-US"/>
        </w:rPr>
      </w:pPr>
      <w:r>
        <w:rPr>
          <w:lang w:val="en-US" w:bidi="ar-SA"/>
        </w:rPr>
        <w:drawing>
          <wp:inline distT="0" distB="0" distL="114300" distR="114300">
            <wp:extent cx="3696970" cy="2957830"/>
            <wp:effectExtent l="0" t="0" r="6350" b="13970"/>
            <wp:docPr id="38" name="图片 8" descr="C:\Users\DELL\Pictures\Screenshots\屏幕截图 2025-03-24 081248.png屏幕截图 2025-03-24 08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 descr="C:\Users\DELL\Pictures\Screenshots\屏幕截图 2025-03-24 081248.png屏幕截图 2025-03-24 081248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697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B2E17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设备工艺点参数表</w:t>
      </w:r>
    </w:p>
    <w:p w14:paraId="542B141A">
      <w:pPr>
        <w:pStyle w:val="15"/>
        <w:spacing w:beforeAutospacing="0" w:after="60" w:afterAutospacing="0" w:line="429" w:lineRule="atLeast"/>
        <w:ind w:firstLine="3657" w:firstLineChars="1523"/>
      </w:pPr>
      <w:r>
        <w:rPr>
          <w:rStyle w:val="20"/>
          <w:rFonts w:ascii="Segoe UI" w:hAnsi="Segoe UI" w:eastAsia="Segoe UI" w:cs="Segoe UI"/>
          <w:color w:val="404040"/>
          <w:szCs w:val="24"/>
        </w:rPr>
        <w:t>关键参数说明：</w:t>
      </w:r>
    </w:p>
    <w:tbl>
      <w:tblPr>
        <w:tblStyle w:val="17"/>
        <w:tblW w:w="0" w:type="auto"/>
        <w:jc w:val="center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422"/>
        <w:gridCol w:w="832"/>
        <w:gridCol w:w="894"/>
        <w:gridCol w:w="1678"/>
      </w:tblGrid>
      <w:tr w14:paraId="4F439C0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Header/>
          <w:jc w:val="center"/>
        </w:trPr>
        <w:tc>
          <w:tcPr>
            <w:tcW w:w="1422" w:type="dxa"/>
            <w:tcBorders>
              <w:top w:val="single" w:color="A3A3A3" w:sz="6" w:space="0"/>
              <w:bottom w:val="single" w:color="A3A3A3" w:sz="6" w:space="0"/>
            </w:tcBorders>
            <w:shd w:val="clear" w:color="auto" w:fill="auto"/>
            <w:tcMar>
              <w:top w:w="103" w:type="dxa"/>
              <w:left w:w="0" w:type="dxa"/>
              <w:bottom w:w="103" w:type="dxa"/>
              <w:right w:w="206" w:type="dxa"/>
            </w:tcMar>
            <w:vAlign w:val="center"/>
          </w:tcPr>
          <w:p w14:paraId="7FA85A80">
            <w:pPr>
              <w:rPr>
                <w:b/>
                <w:color w:val="404040"/>
                <w:sz w:val="28"/>
                <w:szCs w:val="28"/>
              </w:rPr>
            </w:pPr>
            <w:r>
              <w:rPr>
                <w:b/>
                <w:color w:val="404040"/>
                <w:sz w:val="28"/>
                <w:szCs w:val="28"/>
                <w:lang w:val="en-US" w:bidi="ar"/>
              </w:rPr>
              <w:t>参数</w:t>
            </w:r>
          </w:p>
        </w:tc>
        <w:tc>
          <w:tcPr>
            <w:tcW w:w="1586" w:type="dxa"/>
            <w:gridSpan w:val="2"/>
            <w:tcBorders>
              <w:top w:val="single" w:color="A3A3A3" w:sz="6" w:space="0"/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2ACCFA84">
            <w:pPr>
              <w:rPr>
                <w:b/>
                <w:color w:val="404040"/>
                <w:sz w:val="28"/>
                <w:szCs w:val="28"/>
              </w:rPr>
            </w:pPr>
            <w:r>
              <w:rPr>
                <w:rFonts w:hint="eastAsia"/>
                <w:b/>
                <w:color w:val="404040"/>
                <w:sz w:val="28"/>
                <w:szCs w:val="28"/>
                <w:lang w:val="en-US" w:bidi="ar"/>
              </w:rPr>
              <w:t>单位</w:t>
            </w:r>
          </w:p>
        </w:tc>
        <w:tc>
          <w:tcPr>
            <w:tcW w:w="1678" w:type="dxa"/>
            <w:tcBorders>
              <w:top w:val="single" w:color="A3A3A3" w:sz="6" w:space="0"/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2D8A5EC4">
            <w:pPr>
              <w:rPr>
                <w:b/>
                <w:color w:val="404040"/>
                <w:sz w:val="28"/>
                <w:szCs w:val="28"/>
              </w:rPr>
            </w:pPr>
            <w:r>
              <w:rPr>
                <w:b/>
                <w:color w:val="404040"/>
                <w:sz w:val="28"/>
                <w:szCs w:val="28"/>
                <w:lang w:val="en-US" w:bidi="ar"/>
              </w:rPr>
              <w:t>功能</w:t>
            </w:r>
          </w:p>
        </w:tc>
      </w:tr>
      <w:tr w14:paraId="6AAD084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1422" w:type="dxa"/>
            <w:shd w:val="clear" w:color="auto" w:fill="auto"/>
            <w:tcMar>
              <w:top w:w="103" w:type="dxa"/>
              <w:left w:w="0" w:type="dxa"/>
              <w:bottom w:w="103" w:type="dxa"/>
              <w:right w:w="206" w:type="dxa"/>
            </w:tcMar>
            <w:vAlign w:val="center"/>
          </w:tcPr>
          <w:p w14:paraId="0879DFB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启用通道</w:t>
            </w:r>
          </w:p>
        </w:tc>
        <w:tc>
          <w:tcPr>
            <w:tcW w:w="692" w:type="dxa"/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5E96D333">
            <w:pPr>
              <w:rPr>
                <w:sz w:val="28"/>
                <w:szCs w:val="28"/>
              </w:rPr>
            </w:pPr>
          </w:p>
        </w:tc>
        <w:tc>
          <w:tcPr>
            <w:tcW w:w="2572" w:type="dxa"/>
            <w:gridSpan w:val="2"/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2C82FF40">
            <w:pPr>
              <w:ind w:left="561" w:leftChars="255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多通道并行检测</w:t>
            </w:r>
            <w:r>
              <w:rPr>
                <w:rFonts w:hint="eastAsia"/>
                <w:sz w:val="28"/>
                <w:szCs w:val="28"/>
                <w:lang w:val="en-US" w:bidi="ar"/>
              </w:rPr>
              <w:t>开关</w:t>
            </w:r>
          </w:p>
        </w:tc>
      </w:tr>
      <w:tr w14:paraId="3DD89EE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1422" w:type="dxa"/>
            <w:tcBorders>
              <w:bottom w:val="single" w:color="A3A3A3" w:sz="6" w:space="0"/>
            </w:tcBorders>
            <w:shd w:val="clear" w:color="auto" w:fill="auto"/>
            <w:tcMar>
              <w:top w:w="103" w:type="dxa"/>
              <w:left w:w="0" w:type="dxa"/>
              <w:bottom w:w="103" w:type="dxa"/>
              <w:right w:w="206" w:type="dxa"/>
            </w:tcMar>
            <w:vAlign w:val="center"/>
          </w:tcPr>
          <w:p w14:paraId="0DEE25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检测间隔</w:t>
            </w:r>
          </w:p>
        </w:tc>
        <w:tc>
          <w:tcPr>
            <w:tcW w:w="692" w:type="dxa"/>
            <w:tcBorders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25CE0B2F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val="en-US" w:bidi="ar"/>
              </w:rPr>
              <w:t>min</w:t>
            </w:r>
          </w:p>
        </w:tc>
        <w:tc>
          <w:tcPr>
            <w:tcW w:w="2572" w:type="dxa"/>
            <w:gridSpan w:val="2"/>
            <w:tcBorders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6A9A1100">
            <w:pPr>
              <w:ind w:firstLine="700" w:firstLineChars="250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采样周期</w:t>
            </w:r>
          </w:p>
        </w:tc>
      </w:tr>
    </w:tbl>
    <w:p w14:paraId="5E82AD5D">
      <w:pPr>
        <w:numPr>
          <w:ilvl w:val="0"/>
          <w:numId w:val="0"/>
        </w:numPr>
        <w:autoSpaceDE/>
        <w:autoSpaceDN/>
        <w:spacing w:line="360" w:lineRule="auto"/>
        <w:jc w:val="center"/>
        <w:rPr>
          <w:lang w:val="en-US" w:bidi="ar-SA"/>
        </w:rPr>
      </w:pPr>
      <w:r>
        <w:rPr>
          <w:lang w:val="en-US" w:bidi="ar-SA"/>
        </w:rPr>
        <w:drawing>
          <wp:inline distT="0" distB="0" distL="114300" distR="114300">
            <wp:extent cx="3190875" cy="2552700"/>
            <wp:effectExtent l="0" t="0" r="9525" b="7620"/>
            <wp:docPr id="39" name="图片 39" descr="C:\Users\DELL\Pictures\Screenshots\屏幕截图 2025-03-21 155109.png屏幕截图 2025-03-21 155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C:\Users\DELL\Pictures\Screenshots\屏幕截图 2025-03-21 155109.png屏幕截图 2025-03-21 155109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3162" cy="25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387F1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3.3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设备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>关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机流程</w:t>
      </w:r>
    </w:p>
    <w:p w14:paraId="385DBC64">
      <w:pPr>
        <w:numPr>
          <w:ilvl w:val="0"/>
          <w:numId w:val="0"/>
        </w:num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分析软件中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设置选择工艺点启用的对号点掉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，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系统将不在循环制样，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再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分析里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点击“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关机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”按钮，设备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正常关机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；</w:t>
      </w:r>
    </w:p>
    <w:p w14:paraId="5859D1D8">
      <w:pPr>
        <w:numPr>
          <w:ilvl w:val="0"/>
          <w:numId w:val="0"/>
        </w:numPr>
        <w:autoSpaceDE/>
        <w:autoSpaceDN/>
        <w:spacing w:line="360" w:lineRule="auto"/>
        <w:jc w:val="center"/>
        <w:rPr>
          <w:lang w:val="en-US" w:bidi="ar-SA"/>
        </w:rPr>
      </w:pPr>
    </w:p>
    <w:p w14:paraId="127B038C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 xml:space="preserve">3.4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设备下电流程</w:t>
      </w:r>
    </w:p>
    <w:p w14:paraId="39F7FFC1">
      <w:pPr>
        <w:pStyle w:val="25"/>
        <w:numPr>
          <w:ilvl w:val="0"/>
          <w:numId w:val="7"/>
        </w:numPr>
        <w:spacing w:line="360" w:lineRule="auto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操作面板显示器关机（Windows系统）</w:t>
      </w:r>
    </w:p>
    <w:p w14:paraId="535D603B">
      <w:pPr>
        <w:pStyle w:val="25"/>
        <w:numPr>
          <w:ilvl w:val="0"/>
          <w:numId w:val="7"/>
        </w:numPr>
        <w:spacing w:line="360" w:lineRule="auto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主机钥匙开关转至OFF</w:t>
      </w:r>
    </w:p>
    <w:p w14:paraId="74C04BC9">
      <w:pPr>
        <w:pStyle w:val="25"/>
        <w:numPr>
          <w:ilvl w:val="0"/>
          <w:numId w:val="7"/>
        </w:numPr>
        <w:spacing w:line="360" w:lineRule="auto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将主机电气柜，右后侧的旋转负荷开关转至OFF</w:t>
      </w:r>
    </w:p>
    <w:p w14:paraId="7172841C">
      <w:pPr>
        <w:pStyle w:val="25"/>
        <w:numPr>
          <w:ilvl w:val="0"/>
          <w:numId w:val="7"/>
        </w:numPr>
        <w:spacing w:line="360" w:lineRule="auto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断开配电箱中的主断路器</w:t>
      </w:r>
    </w:p>
    <w:p w14:paraId="434E9FAD">
      <w:pPr>
        <w:spacing w:line="360" w:lineRule="auto"/>
        <w:ind w:firstLine="480" w:firstLineChars="200"/>
        <w:rPr>
          <w:sz w:val="24"/>
        </w:rPr>
      </w:pPr>
    </w:p>
    <w:p w14:paraId="4E29D015">
      <w:pPr>
        <w:pStyle w:val="16"/>
        <w:rPr>
          <w:lang w:val="en-US"/>
        </w:rPr>
      </w:pPr>
    </w:p>
    <w:p w14:paraId="3037971A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>3.6 系统软件总览</w:t>
      </w:r>
    </w:p>
    <w:p w14:paraId="14F29D59">
      <w:pPr>
        <w:keepNext/>
        <w:keepLines/>
        <w:numPr>
          <w:ilvl w:val="0"/>
          <w:numId w:val="0"/>
        </w:numPr>
        <w:spacing w:before="260" w:after="260" w:line="413" w:lineRule="auto"/>
        <w:ind w:leftChars="0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3.6.1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顶部状态栏</w:t>
      </w:r>
    </w:p>
    <w:p w14:paraId="1C4F56C5">
      <w:pPr>
        <w:pStyle w:val="15"/>
        <w:spacing w:beforeAutospacing="0" w:after="60" w:afterAutospacing="0" w:line="429" w:lineRule="atLeast"/>
        <w:rPr>
          <w:sz w:val="28"/>
        </w:rPr>
      </w:pPr>
      <w:r>
        <w:rPr>
          <w:rFonts w:ascii="Segoe UI" w:hAnsi="Segoe UI" w:eastAsia="Segoe UI" w:cs="Segoe UI"/>
          <w:b/>
          <w:color w:val="404040"/>
          <w:sz w:val="28"/>
        </w:rPr>
        <w:t>顶部状态栏显示</w:t>
      </w:r>
      <w:r>
        <w:rPr>
          <w:rFonts w:ascii="Segoe UI" w:hAnsi="Segoe UI" w:eastAsia="Segoe UI" w:cs="Segoe UI"/>
          <w:color w:val="404040"/>
          <w:sz w:val="28"/>
        </w:rPr>
        <w:t>：</w:t>
      </w:r>
      <w:r>
        <w:rPr>
          <w:sz w:val="28"/>
        </w:rPr>
        <w:drawing>
          <wp:inline distT="0" distB="0" distL="114300" distR="114300">
            <wp:extent cx="1114425" cy="342900"/>
            <wp:effectExtent l="0" t="0" r="13335" b="7620"/>
            <wp:docPr id="46808139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0" name="图片 2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77755">
      <w:pPr>
        <w:pStyle w:val="15"/>
        <w:spacing w:beforeAutospacing="0" w:afterAutospacing="0" w:line="429" w:lineRule="atLeast"/>
        <w:ind w:firstLine="560" w:firstLineChars="200"/>
        <w:rPr>
          <w:sz w:val="28"/>
        </w:rPr>
      </w:pPr>
      <w:r>
        <w:rPr>
          <w:rStyle w:val="20"/>
          <w:rFonts w:ascii="Segoe UI" w:hAnsi="Segoe UI" w:eastAsia="Segoe UI" w:cs="Segoe UI"/>
          <w:color w:val="404040"/>
          <w:sz w:val="28"/>
        </w:rPr>
        <w:t>通信状态</w:t>
      </w:r>
      <w:r>
        <w:rPr>
          <w:rFonts w:ascii="Segoe UI" w:hAnsi="Segoe UI" w:eastAsia="Segoe UI" w:cs="Segoe UI"/>
          <w:color w:val="404040"/>
          <w:sz w:val="28"/>
        </w:rPr>
        <w:t>：射线源</w:t>
      </w:r>
      <w:r>
        <w:rPr>
          <w:rFonts w:hint="eastAsia"/>
          <w:sz w:val="28"/>
        </w:rPr>
        <w:drawing>
          <wp:inline distT="0" distB="0" distL="114300" distR="114300">
            <wp:extent cx="609600" cy="609600"/>
            <wp:effectExtent l="0" t="0" r="0" b="0"/>
            <wp:docPr id="468081391" name="图片 468081391" descr="USBXRaySourceOff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1" name="图片 468081391" descr="USBXRaySourceOffline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eastAsia="Segoe UI" w:cs="Segoe UI"/>
          <w:color w:val="404040"/>
          <w:sz w:val="28"/>
        </w:rPr>
        <w:t>/传感器</w:t>
      </w:r>
      <w:r>
        <w:rPr>
          <w:rFonts w:hint="eastAsia"/>
          <w:sz w:val="28"/>
        </w:rPr>
        <w:drawing>
          <wp:inline distT="0" distB="0" distL="114300" distR="114300">
            <wp:extent cx="609600" cy="609600"/>
            <wp:effectExtent l="0" t="0" r="0" b="0"/>
            <wp:docPr id="468081392" name="图片 468081392" descr="USBDetectorOff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2" name="图片 468081392" descr="USBDetectorOffline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eastAsia="Segoe UI" w:cs="Segoe UI"/>
          <w:color w:val="404040"/>
          <w:sz w:val="28"/>
        </w:rPr>
        <w:t>连接状态（</w:t>
      </w:r>
      <w:r>
        <w:rPr>
          <w:rFonts w:hint="eastAsia"/>
          <w:sz w:val="28"/>
        </w:rPr>
        <w:drawing>
          <wp:inline distT="0" distB="0" distL="114300" distR="114300">
            <wp:extent cx="603250" cy="603250"/>
            <wp:effectExtent l="0" t="0" r="0" b="6350"/>
            <wp:docPr id="468081393" name="图片 468081393" descr="USBXRaySource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3" name="图片 468081393" descr="USBXRaySourceOnline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3250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drawing>
          <wp:inline distT="0" distB="0" distL="114300" distR="114300">
            <wp:extent cx="584835" cy="584835"/>
            <wp:effectExtent l="0" t="0" r="0" b="9525"/>
            <wp:docPr id="468081394" name="图片 468081394" descr="USBDetector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4" name="图片 468081394" descr="USBDetectorOnline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4835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Segoe UI" w:hAnsi="Segoe UI" w:cs="Segoe UI"/>
          <w:color w:val="404040"/>
          <w:sz w:val="28"/>
        </w:rPr>
        <w:t>绿</w:t>
      </w:r>
      <w:r>
        <w:rPr>
          <w:rFonts w:ascii="Segoe UI" w:hAnsi="Segoe UI" w:eastAsia="Segoe UI" w:cs="Segoe UI"/>
          <w:color w:val="404040"/>
          <w:sz w:val="28"/>
        </w:rPr>
        <w:t>色已连接，</w:t>
      </w:r>
      <w:r>
        <w:rPr>
          <w:rFonts w:hint="eastAsia"/>
          <w:sz w:val="28"/>
        </w:rPr>
        <w:drawing>
          <wp:inline distT="0" distB="0" distL="114300" distR="114300">
            <wp:extent cx="609600" cy="609600"/>
            <wp:effectExtent l="0" t="0" r="0" b="0"/>
            <wp:docPr id="468081395" name="图片 468081395" descr="USBXRaySourceOff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5" name="图片 468081395" descr="USBXRaySourceOffline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drawing>
          <wp:inline distT="0" distB="0" distL="114300" distR="114300">
            <wp:extent cx="609600" cy="609600"/>
            <wp:effectExtent l="0" t="0" r="0" b="0"/>
            <wp:docPr id="468081396" name="图片 468081396" descr="USBDetectorOff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6" name="图片 468081396" descr="USBDetectorOffline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Segoe UI" w:hAnsi="Segoe UI" w:cs="Segoe UI"/>
          <w:color w:val="404040"/>
          <w:sz w:val="28"/>
        </w:rPr>
        <w:t>灰</w:t>
      </w:r>
      <w:r>
        <w:rPr>
          <w:rFonts w:ascii="Segoe UI" w:hAnsi="Segoe UI" w:eastAsia="Segoe UI" w:cs="Segoe UI"/>
          <w:color w:val="404040"/>
          <w:sz w:val="28"/>
        </w:rPr>
        <w:t>色未连接）。</w:t>
      </w:r>
    </w:p>
    <w:p w14:paraId="64FD5FCA">
      <w:pPr>
        <w:pStyle w:val="15"/>
        <w:spacing w:beforeAutospacing="0" w:afterAutospacing="0" w:line="429" w:lineRule="atLeast"/>
        <w:ind w:firstLine="560" w:firstLineChars="200"/>
        <w:rPr>
          <w:sz w:val="28"/>
        </w:rPr>
      </w:pPr>
      <w:r>
        <w:rPr>
          <w:rStyle w:val="20"/>
          <w:rFonts w:ascii="Segoe UI" w:hAnsi="Segoe UI" w:eastAsia="Segoe UI" w:cs="Segoe UI"/>
          <w:color w:val="404040"/>
          <w:sz w:val="28"/>
        </w:rPr>
        <w:t>PLC信号强度</w:t>
      </w:r>
      <w:r>
        <w:rPr>
          <w:rFonts w:ascii="Segoe UI" w:hAnsi="Segoe UI" w:eastAsia="Segoe UI" w:cs="Segoe UI"/>
          <w:color w:val="404040"/>
          <w:sz w:val="28"/>
        </w:rPr>
        <w:t>：实时</w:t>
      </w:r>
      <w:r>
        <w:rPr>
          <w:rFonts w:hint="eastAsia"/>
          <w:sz w:val="28"/>
        </w:rPr>
        <w:t>通信信号强度状态</w:t>
      </w:r>
      <w:r>
        <w:rPr>
          <w:rFonts w:ascii="Segoe UI" w:hAnsi="Segoe UI" w:eastAsia="Segoe UI" w:cs="Segoe UI"/>
          <w:color w:val="404040"/>
          <w:sz w:val="28"/>
        </w:rPr>
        <w:t>（</w:t>
      </w:r>
      <w:r>
        <w:rPr>
          <w:rFonts w:hint="eastAsia"/>
          <w:sz w:val="28"/>
        </w:rPr>
        <w:drawing>
          <wp:inline distT="0" distB="0" distL="114300" distR="114300">
            <wp:extent cx="266700" cy="292100"/>
            <wp:effectExtent l="0" t="0" r="7620" b="12700"/>
            <wp:docPr id="468081397" name="图片 468081397" descr="LinkSigna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7" name="图片 468081397" descr="LinkSignal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Segoe UI" w:hAnsi="Segoe UI" w:cs="Segoe UI"/>
          <w:color w:val="404040"/>
          <w:sz w:val="28"/>
        </w:rPr>
        <w:t>1-3格</w:t>
      </w:r>
      <w:r>
        <w:rPr>
          <w:rFonts w:ascii="Segoe UI" w:hAnsi="Segoe UI" w:eastAsia="Segoe UI" w:cs="Segoe UI"/>
          <w:color w:val="404040"/>
          <w:sz w:val="28"/>
        </w:rPr>
        <w:t>为正常</w:t>
      </w:r>
      <w:r>
        <w:rPr>
          <w:rFonts w:hint="eastAsia" w:ascii="Segoe UI" w:hAnsi="Segoe UI" w:cs="Segoe UI"/>
          <w:color w:val="404040"/>
          <w:sz w:val="28"/>
        </w:rPr>
        <w:t>，</w:t>
      </w:r>
      <w:r>
        <w:rPr>
          <w:rFonts w:hint="eastAsia"/>
          <w:sz w:val="28"/>
        </w:rPr>
        <w:drawing>
          <wp:inline distT="0" distB="0" distL="114300" distR="114300">
            <wp:extent cx="266700" cy="292100"/>
            <wp:effectExtent l="0" t="0" r="7620" b="12700"/>
            <wp:docPr id="468081398" name="图片 468081398" descr="D:\svn\ASH\Source\Src\Res\Image\MainWindow\LinkSignal0.pngLinkSignal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8" name="图片 468081398" descr="D:\svn\ASH\Source\Src\Res\Image\MainWindow\LinkSignal0.pngLinkSignal0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Segoe UI" w:hAnsi="Segoe UI" w:cs="Segoe UI"/>
          <w:color w:val="404040"/>
          <w:sz w:val="28"/>
        </w:rPr>
        <w:t>空格为断连</w:t>
      </w:r>
      <w:r>
        <w:rPr>
          <w:rFonts w:ascii="Segoe UI" w:hAnsi="Segoe UI" w:eastAsia="Segoe UI" w:cs="Segoe UI"/>
          <w:color w:val="404040"/>
          <w:sz w:val="28"/>
        </w:rPr>
        <w:t>）。</w:t>
      </w:r>
    </w:p>
    <w:p w14:paraId="3AB56A93">
      <w:pPr>
        <w:pStyle w:val="15"/>
        <w:spacing w:beforeAutospacing="0" w:afterAutospacing="0" w:line="429" w:lineRule="atLeast"/>
        <w:ind w:firstLine="562" w:firstLineChars="200"/>
        <w:rPr>
          <w:sz w:val="28"/>
        </w:rPr>
      </w:pPr>
      <w:r>
        <w:rPr>
          <w:rStyle w:val="20"/>
          <w:rFonts w:hint="eastAsia" w:ascii="Segoe UI" w:hAnsi="Segoe UI" w:cs="Segoe UI"/>
          <w:color w:val="404040"/>
          <w:sz w:val="28"/>
        </w:rPr>
        <w:t>射线源使能状态：</w:t>
      </w:r>
      <w:r>
        <w:rPr>
          <w:rFonts w:hint="eastAsia"/>
          <w:sz w:val="28"/>
        </w:rPr>
        <w:drawing>
          <wp:inline distT="0" distB="0" distL="114300" distR="114300">
            <wp:extent cx="191770" cy="191770"/>
            <wp:effectExtent l="0" t="0" r="6350" b="6350"/>
            <wp:docPr id="468081399" name="图片 468081399" descr="XR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99" name="图片 468081399" descr="XRay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0"/>
          <w:rFonts w:hint="eastAsia" w:ascii="Segoe UI" w:hAnsi="Segoe UI" w:cs="Segoe UI"/>
          <w:bCs/>
          <w:color w:val="404040"/>
          <w:sz w:val="28"/>
        </w:rPr>
        <w:t>射线源启动，</w:t>
      </w:r>
      <w:r>
        <w:rPr>
          <w:rFonts w:hint="eastAsia"/>
          <w:sz w:val="28"/>
        </w:rPr>
        <w:drawing>
          <wp:inline distT="0" distB="0" distL="114300" distR="114300">
            <wp:extent cx="191770" cy="191770"/>
            <wp:effectExtent l="0" t="0" r="6350" b="6350"/>
            <wp:docPr id="468081400" name="图片 468081400" descr="XRayO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0" name="图片 468081400" descr="XRayOff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t>射线源关闭。</w:t>
      </w:r>
    </w:p>
    <w:p w14:paraId="68D2CC74">
      <w:pPr>
        <w:keepNext/>
        <w:keepLines/>
        <w:numPr>
          <w:ilvl w:val="0"/>
          <w:numId w:val="0"/>
        </w:numPr>
        <w:spacing w:before="260" w:after="260" w:line="413" w:lineRule="auto"/>
        <w:ind w:leftChars="0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3.6.2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底部状态栏</w:t>
      </w:r>
    </w:p>
    <w:p w14:paraId="3774929A">
      <w:pPr>
        <w:rPr>
          <w:rFonts w:ascii="Segoe UI" w:hAnsi="Segoe UI" w:eastAsia="Segoe UI" w:cs="Segoe UI"/>
          <w:color w:val="404040"/>
          <w:szCs w:val="24"/>
        </w:rPr>
      </w:pPr>
      <w:r>
        <w:rPr>
          <w:rFonts w:hint="eastAsia"/>
          <w:b/>
          <w:color w:val="404040"/>
          <w:sz w:val="28"/>
          <w:szCs w:val="28"/>
        </w:rPr>
        <w:t>底部状态栏显示：</w:t>
      </w:r>
      <w:r>
        <w:rPr>
          <w:lang w:val="en-US" w:bidi="ar-SA"/>
        </w:rPr>
        <w:drawing>
          <wp:inline distT="0" distB="0" distL="114300" distR="114300">
            <wp:extent cx="5266690" cy="112395"/>
            <wp:effectExtent l="0" t="0" r="6350" b="9525"/>
            <wp:docPr id="4680814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1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FD0B9">
      <w:pPr>
        <w:pStyle w:val="15"/>
        <w:spacing w:beforeAutospacing="0" w:afterAutospacing="0" w:line="429" w:lineRule="atLeast"/>
        <w:ind w:firstLine="560" w:firstLineChars="200"/>
        <w:rPr>
          <w:rFonts w:ascii="Segoe UI" w:hAnsi="Segoe UI" w:eastAsia="Segoe UI" w:cs="Segoe UI"/>
          <w:color w:val="404040"/>
          <w:sz w:val="28"/>
        </w:rPr>
      </w:pPr>
      <w:r>
        <w:rPr>
          <w:rStyle w:val="20"/>
          <w:rFonts w:ascii="Segoe UI" w:hAnsi="Segoe UI" w:eastAsia="Segoe UI" w:cs="Segoe UI"/>
          <w:color w:val="404040"/>
          <w:sz w:val="28"/>
        </w:rPr>
        <w:t>系统阶段</w:t>
      </w:r>
      <w:r>
        <w:rPr>
          <w:rFonts w:ascii="Segoe UI" w:hAnsi="Segoe UI" w:eastAsia="Segoe UI" w:cs="Segoe UI"/>
          <w:color w:val="404040"/>
          <w:sz w:val="28"/>
        </w:rPr>
        <w:t>：空闲/工作/停机。</w:t>
      </w:r>
    </w:p>
    <w:p w14:paraId="73CE70AF">
      <w:pPr>
        <w:pStyle w:val="15"/>
        <w:spacing w:beforeAutospacing="0" w:afterAutospacing="0" w:line="429" w:lineRule="atLeast"/>
        <w:ind w:firstLine="562" w:firstLineChars="200"/>
        <w:rPr>
          <w:rFonts w:ascii="Segoe UI" w:hAnsi="Segoe UI" w:eastAsia="Segoe UI" w:cs="Segoe UI"/>
          <w:color w:val="404040"/>
          <w:sz w:val="28"/>
        </w:rPr>
      </w:pPr>
      <w:r>
        <w:rPr>
          <w:rFonts w:hint="eastAsia" w:ascii="Segoe UI" w:hAnsi="Segoe UI" w:cs="Segoe UI"/>
          <w:b/>
          <w:bCs/>
          <w:color w:val="404040"/>
          <w:sz w:val="28"/>
        </w:rPr>
        <w:t>当前流程</w:t>
      </w:r>
      <w:r>
        <w:rPr>
          <w:rFonts w:hint="eastAsia" w:ascii="Segoe UI" w:hAnsi="Segoe UI" w:cs="Segoe UI"/>
          <w:color w:val="404040"/>
          <w:sz w:val="28"/>
        </w:rPr>
        <w:t>；</w:t>
      </w:r>
      <w:r>
        <w:rPr>
          <w:rFonts w:hint="eastAsia" w:ascii="Segoe UI" w:hAnsi="Segoe UI" w:cs="Segoe UI"/>
          <w:b/>
          <w:bCs/>
          <w:color w:val="404040"/>
          <w:sz w:val="28"/>
        </w:rPr>
        <w:t>系统信息；                                 当前时间；版本号；</w:t>
      </w:r>
    </w:p>
    <w:p w14:paraId="7970B05C">
      <w:pPr>
        <w:autoSpaceDE/>
        <w:autoSpaceDN/>
        <w:spacing w:line="360" w:lineRule="auto"/>
        <w:jc w:val="both"/>
        <w:rPr>
          <w:rFonts w:asciiTheme="minorEastAsia" w:hAnsiTheme="minorEastAsia" w:eastAsiaTheme="minorEastAsia" w:cstheme="minorEastAsia"/>
          <w:kern w:val="2"/>
          <w:sz w:val="24"/>
          <w:szCs w:val="24"/>
          <w:lang w:val="en-US" w:bidi="ar-SA"/>
        </w:rPr>
      </w:pPr>
    </w:p>
    <w:p w14:paraId="13C563F8">
      <w:pPr>
        <w:autoSpaceDE/>
        <w:autoSpaceDN/>
        <w:jc w:val="both"/>
        <w:outlineLvl w:val="2"/>
        <w:rPr>
          <w:rFonts w:cstheme="majorEastAsia"/>
          <w:b/>
          <w:kern w:val="2"/>
          <w:sz w:val="28"/>
          <w:szCs w:val="28"/>
          <w:lang w:val="en-US" w:bidi="ar-SA"/>
        </w:rPr>
      </w:pPr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 xml:space="preserve">3.6.3 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>设备设置页</w:t>
      </w:r>
    </w:p>
    <w:p w14:paraId="2A83C192">
      <w:pPr>
        <w:spacing w:line="360" w:lineRule="auto"/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点击侧边菜单栏设置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61315" cy="361315"/>
            <wp:effectExtent l="0" t="0" r="4445" b="4445"/>
            <wp:docPr id="468081402" name="图片 468081402" descr="Setting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2" name="图片 468081402" descr="Setting0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>按钮后，可以看到</w:t>
      </w:r>
      <w:r>
        <w:rPr>
          <w:rFonts w:hint="eastAsia"/>
          <w:sz w:val="28"/>
          <w:szCs w:val="28"/>
          <w:lang w:eastAsia="zh-Hans"/>
        </w:rPr>
        <w:t>在页面</w:t>
      </w:r>
      <w:r>
        <w:rPr>
          <w:rFonts w:hint="eastAsia"/>
          <w:sz w:val="28"/>
          <w:szCs w:val="28"/>
        </w:rPr>
        <w:t>上</w:t>
      </w:r>
      <w:r>
        <w:rPr>
          <w:rFonts w:hint="eastAsia"/>
          <w:sz w:val="28"/>
          <w:szCs w:val="28"/>
          <w:lang w:eastAsia="zh-Hans"/>
        </w:rPr>
        <w:t>方共有</w:t>
      </w:r>
      <w:r>
        <w:rPr>
          <w:rFonts w:hint="eastAsia"/>
          <w:sz w:val="28"/>
          <w:szCs w:val="28"/>
          <w:lang w:val="en-US"/>
        </w:rPr>
        <w:t>2</w:t>
      </w:r>
      <w:r>
        <w:rPr>
          <w:rFonts w:hint="eastAsia"/>
          <w:sz w:val="28"/>
          <w:szCs w:val="28"/>
        </w:rPr>
        <w:t>个按钮，这</w:t>
      </w:r>
      <w:r>
        <w:rPr>
          <w:rFonts w:hint="eastAsia"/>
          <w:sz w:val="28"/>
          <w:szCs w:val="28"/>
          <w:lang w:val="en-US"/>
        </w:rPr>
        <w:t>2</w:t>
      </w:r>
      <w:r>
        <w:rPr>
          <w:rFonts w:hint="eastAsia"/>
          <w:sz w:val="28"/>
          <w:szCs w:val="28"/>
        </w:rPr>
        <w:t>个按钮对应</w:t>
      </w:r>
      <w:r>
        <w:rPr>
          <w:rFonts w:hint="eastAsia"/>
          <w:sz w:val="28"/>
          <w:szCs w:val="28"/>
          <w:lang w:val="en-US"/>
        </w:rPr>
        <w:t>2</w:t>
      </w:r>
      <w:r>
        <w:rPr>
          <w:rFonts w:hint="eastAsia"/>
          <w:sz w:val="28"/>
          <w:szCs w:val="28"/>
        </w:rPr>
        <w:t>个设置页工艺点、任务</w:t>
      </w:r>
      <w:r>
        <w:rPr>
          <w:sz w:val="28"/>
          <w:szCs w:val="28"/>
          <w:lang w:val="en-US" w:bidi="ar-SA"/>
        </w:rPr>
        <w:drawing>
          <wp:inline distT="0" distB="0" distL="114300" distR="114300">
            <wp:extent cx="1120140" cy="180975"/>
            <wp:effectExtent l="0" t="0" r="7620" b="1905"/>
            <wp:docPr id="468081403" name="图片 26" descr="C:\Users\DELL\Pictures\Screenshots\屏幕截图 2025-03-24 082311.png屏幕截图 2025-03-24 08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3" name="图片 26" descr="C:\Users\DELL\Pictures\Screenshots\屏幕截图 2025-03-24 082311.png屏幕截图 2025-03-24 082311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，</w:t>
      </w:r>
      <w:r>
        <w:rPr>
          <w:rFonts w:hint="eastAsia"/>
          <w:sz w:val="28"/>
          <w:szCs w:val="28"/>
        </w:rPr>
        <w:t>可以</w:t>
      </w:r>
      <w:r>
        <w:rPr>
          <w:rFonts w:hint="eastAsia"/>
          <w:sz w:val="28"/>
          <w:szCs w:val="28"/>
          <w:lang w:eastAsia="zh-Hans"/>
        </w:rPr>
        <w:t>点击按钮来进行查看</w:t>
      </w:r>
      <w:r>
        <w:rPr>
          <w:rFonts w:hint="eastAsia"/>
          <w:sz w:val="28"/>
          <w:szCs w:val="28"/>
        </w:rPr>
        <w:t>和设置。这些设置提供了丰富的选项，可以根据需要进行详细的设定。</w:t>
      </w:r>
    </w:p>
    <w:p w14:paraId="204FA8DD">
      <w:pPr>
        <w:spacing w:line="360" w:lineRule="auto"/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1.默认显示的是工艺点参数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995680" cy="227965"/>
            <wp:effectExtent l="0" t="0" r="10160" b="635"/>
            <wp:docPr id="468081404" name="图片 468081404" descr="C:\Users\DELL\Pictures\Screenshots\屏幕截图 2024-05-31 114838.png屏幕截图 2024-05-31 11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4" name="图片 468081404" descr="C:\Users\DELL\Pictures\Screenshots\屏幕截图 2024-05-31 114838.png屏幕截图 2024-05-31 114838"/>
                    <pic:cNvPicPr>
                      <a:picLocks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2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>表页，如图所示。</w:t>
      </w:r>
    </w:p>
    <w:p w14:paraId="1CA4FF46">
      <w:pPr>
        <w:ind w:firstLine="420"/>
        <w:jc w:val="center"/>
        <w:rPr>
          <w:lang w:val="en-US"/>
        </w:rPr>
      </w:pPr>
      <w:r>
        <w:rPr>
          <w:lang w:val="en-US" w:bidi="ar-SA"/>
        </w:rPr>
        <w:drawing>
          <wp:inline distT="0" distB="0" distL="114300" distR="114300">
            <wp:extent cx="3696970" cy="2957830"/>
            <wp:effectExtent l="0" t="0" r="6350" b="13970"/>
            <wp:docPr id="468081405" name="图片 8" descr="C:\Users\DELL\Pictures\Screenshots\屏幕截图 2025-03-24 081248.png屏幕截图 2025-03-24 08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5" name="图片 8" descr="C:\Users\DELL\Pictures\Screenshots\屏幕截图 2025-03-24 081248.png屏幕截图 2025-03-24 081248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697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BAB2E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设备工艺点参数表</w:t>
      </w:r>
    </w:p>
    <w:p w14:paraId="6CFAF780">
      <w:pPr>
        <w:pStyle w:val="15"/>
        <w:spacing w:beforeAutospacing="0" w:after="60" w:afterAutospacing="0" w:line="429" w:lineRule="atLeast"/>
        <w:ind w:firstLine="3657" w:firstLineChars="1523"/>
      </w:pPr>
      <w:r>
        <w:rPr>
          <w:rStyle w:val="20"/>
          <w:rFonts w:ascii="Segoe UI" w:hAnsi="Segoe UI" w:eastAsia="Segoe UI" w:cs="Segoe UI"/>
          <w:color w:val="404040"/>
          <w:szCs w:val="24"/>
        </w:rPr>
        <w:t>关键参数说明：</w:t>
      </w:r>
    </w:p>
    <w:tbl>
      <w:tblPr>
        <w:tblStyle w:val="17"/>
        <w:tblW w:w="0" w:type="auto"/>
        <w:jc w:val="center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422"/>
        <w:gridCol w:w="832"/>
        <w:gridCol w:w="894"/>
        <w:gridCol w:w="1678"/>
      </w:tblGrid>
      <w:tr w14:paraId="104E324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Header/>
          <w:jc w:val="center"/>
        </w:trPr>
        <w:tc>
          <w:tcPr>
            <w:tcW w:w="1422" w:type="dxa"/>
            <w:tcBorders>
              <w:top w:val="single" w:color="A3A3A3" w:sz="6" w:space="0"/>
              <w:bottom w:val="single" w:color="A3A3A3" w:sz="6" w:space="0"/>
            </w:tcBorders>
            <w:shd w:val="clear" w:color="auto" w:fill="auto"/>
            <w:tcMar>
              <w:top w:w="103" w:type="dxa"/>
              <w:left w:w="0" w:type="dxa"/>
              <w:bottom w:w="103" w:type="dxa"/>
              <w:right w:w="206" w:type="dxa"/>
            </w:tcMar>
            <w:vAlign w:val="center"/>
          </w:tcPr>
          <w:p w14:paraId="44D4E7D2">
            <w:pPr>
              <w:rPr>
                <w:b/>
                <w:color w:val="404040"/>
                <w:sz w:val="28"/>
                <w:szCs w:val="28"/>
              </w:rPr>
            </w:pPr>
            <w:r>
              <w:rPr>
                <w:b/>
                <w:color w:val="404040"/>
                <w:sz w:val="28"/>
                <w:szCs w:val="28"/>
                <w:lang w:val="en-US" w:bidi="ar"/>
              </w:rPr>
              <w:t>参数</w:t>
            </w:r>
          </w:p>
        </w:tc>
        <w:tc>
          <w:tcPr>
            <w:tcW w:w="1586" w:type="dxa"/>
            <w:gridSpan w:val="2"/>
            <w:tcBorders>
              <w:top w:val="single" w:color="A3A3A3" w:sz="6" w:space="0"/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237A8323">
            <w:pPr>
              <w:rPr>
                <w:b/>
                <w:color w:val="404040"/>
                <w:sz w:val="28"/>
                <w:szCs w:val="28"/>
              </w:rPr>
            </w:pPr>
            <w:r>
              <w:rPr>
                <w:rFonts w:hint="eastAsia"/>
                <w:b/>
                <w:color w:val="404040"/>
                <w:sz w:val="28"/>
                <w:szCs w:val="28"/>
                <w:lang w:val="en-US" w:bidi="ar"/>
              </w:rPr>
              <w:t>单位</w:t>
            </w:r>
          </w:p>
        </w:tc>
        <w:tc>
          <w:tcPr>
            <w:tcW w:w="1678" w:type="dxa"/>
            <w:tcBorders>
              <w:top w:val="single" w:color="A3A3A3" w:sz="6" w:space="0"/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4FC1E36E">
            <w:pPr>
              <w:rPr>
                <w:b/>
                <w:color w:val="404040"/>
                <w:sz w:val="28"/>
                <w:szCs w:val="28"/>
              </w:rPr>
            </w:pPr>
            <w:r>
              <w:rPr>
                <w:b/>
                <w:color w:val="404040"/>
                <w:sz w:val="28"/>
                <w:szCs w:val="28"/>
                <w:lang w:val="en-US" w:bidi="ar"/>
              </w:rPr>
              <w:t>功能</w:t>
            </w:r>
          </w:p>
        </w:tc>
      </w:tr>
      <w:tr w14:paraId="614F8186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1422" w:type="dxa"/>
            <w:shd w:val="clear" w:color="auto" w:fill="auto"/>
            <w:tcMar>
              <w:top w:w="103" w:type="dxa"/>
              <w:left w:w="0" w:type="dxa"/>
              <w:bottom w:w="103" w:type="dxa"/>
              <w:right w:w="206" w:type="dxa"/>
            </w:tcMar>
            <w:vAlign w:val="center"/>
          </w:tcPr>
          <w:p w14:paraId="622F74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启用通道</w:t>
            </w:r>
          </w:p>
        </w:tc>
        <w:tc>
          <w:tcPr>
            <w:tcW w:w="692" w:type="dxa"/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73A6682C">
            <w:pPr>
              <w:rPr>
                <w:sz w:val="28"/>
                <w:szCs w:val="28"/>
              </w:rPr>
            </w:pPr>
          </w:p>
        </w:tc>
        <w:tc>
          <w:tcPr>
            <w:tcW w:w="2572" w:type="dxa"/>
            <w:gridSpan w:val="2"/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38A3B742">
            <w:pPr>
              <w:ind w:left="561" w:leftChars="255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多通道并行检测</w:t>
            </w:r>
            <w:r>
              <w:rPr>
                <w:rFonts w:hint="eastAsia"/>
                <w:sz w:val="28"/>
                <w:szCs w:val="28"/>
                <w:lang w:val="en-US" w:bidi="ar"/>
              </w:rPr>
              <w:t>开关</w:t>
            </w:r>
          </w:p>
        </w:tc>
      </w:tr>
      <w:tr w14:paraId="42A224A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1422" w:type="dxa"/>
            <w:tcBorders>
              <w:bottom w:val="single" w:color="A3A3A3" w:sz="6" w:space="0"/>
            </w:tcBorders>
            <w:shd w:val="clear" w:color="auto" w:fill="auto"/>
            <w:tcMar>
              <w:top w:w="103" w:type="dxa"/>
              <w:left w:w="0" w:type="dxa"/>
              <w:bottom w:w="103" w:type="dxa"/>
              <w:right w:w="206" w:type="dxa"/>
            </w:tcMar>
            <w:vAlign w:val="center"/>
          </w:tcPr>
          <w:p w14:paraId="5387BC1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检测间隔</w:t>
            </w:r>
          </w:p>
        </w:tc>
        <w:tc>
          <w:tcPr>
            <w:tcW w:w="692" w:type="dxa"/>
            <w:tcBorders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672DA188">
            <w:pPr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val="en-US" w:bidi="ar"/>
              </w:rPr>
              <w:t>min</w:t>
            </w:r>
          </w:p>
        </w:tc>
        <w:tc>
          <w:tcPr>
            <w:tcW w:w="2572" w:type="dxa"/>
            <w:gridSpan w:val="2"/>
            <w:tcBorders>
              <w:bottom w:val="single" w:color="A3A3A3" w:sz="6" w:space="0"/>
            </w:tcBorders>
            <w:shd w:val="clear" w:color="auto" w:fill="auto"/>
            <w:tcMar>
              <w:top w:w="103" w:type="dxa"/>
              <w:left w:w="206" w:type="dxa"/>
              <w:bottom w:w="103" w:type="dxa"/>
              <w:right w:w="206" w:type="dxa"/>
            </w:tcMar>
            <w:vAlign w:val="center"/>
          </w:tcPr>
          <w:p w14:paraId="53050E16">
            <w:pPr>
              <w:ind w:firstLine="700" w:firstLineChars="250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 w:bidi="ar"/>
              </w:rPr>
              <w:t>采样周期</w:t>
            </w:r>
          </w:p>
        </w:tc>
      </w:tr>
    </w:tbl>
    <w:p w14:paraId="70BCE30B">
      <w:pPr>
        <w:pStyle w:val="15"/>
        <w:spacing w:before="206" w:beforeAutospacing="0" w:after="206" w:afterAutospacing="0" w:line="429" w:lineRule="atLeast"/>
        <w:ind w:firstLine="560" w:firstLineChars="200"/>
        <w:rPr>
          <w:rStyle w:val="20"/>
          <w:rFonts w:ascii="Segoe UI" w:hAnsi="Segoe UI" w:eastAsia="Segoe UI" w:cs="Segoe UI"/>
          <w:color w:val="404040"/>
          <w:sz w:val="28"/>
        </w:rPr>
      </w:pPr>
      <w:r>
        <w:rPr>
          <w:rStyle w:val="20"/>
          <w:rFonts w:ascii="Segoe UI" w:hAnsi="Segoe UI" w:eastAsia="Segoe UI" w:cs="Segoe UI"/>
          <w:color w:val="404040"/>
          <w:sz w:val="28"/>
        </w:rPr>
        <w:t>操作提示：</w:t>
      </w:r>
    </w:p>
    <w:p w14:paraId="5D2D4CE5">
      <w:pPr>
        <w:pStyle w:val="15"/>
        <w:spacing w:before="206" w:beforeAutospacing="0" w:after="206" w:afterAutospacing="0"/>
        <w:ind w:firstLine="560" w:firstLineChars="200"/>
        <w:rPr>
          <w:rStyle w:val="20"/>
          <w:rFonts w:ascii="Segoe UI" w:hAnsi="Segoe UI" w:cs="Segoe UI" w:eastAsiaTheme="minorEastAsia"/>
          <w:b w:val="0"/>
          <w:bCs/>
          <w:color w:val="404040"/>
          <w:sz w:val="28"/>
        </w:rPr>
      </w:pPr>
      <w:r>
        <w:rPr>
          <w:rStyle w:val="20"/>
          <w:rFonts w:hint="eastAsia" w:ascii="Segoe UI" w:hAnsi="Segoe UI" w:cs="Segoe UI"/>
          <w:b w:val="0"/>
          <w:bCs/>
          <w:color w:val="404040"/>
          <w:sz w:val="28"/>
        </w:rPr>
        <w:t>需在任务页</w:t>
      </w:r>
      <w:r>
        <w:rPr>
          <w:rFonts w:hint="eastAsia"/>
          <w:b/>
          <w:bCs/>
          <w:sz w:val="28"/>
        </w:rPr>
        <w:drawing>
          <wp:inline distT="0" distB="0" distL="114300" distR="114300">
            <wp:extent cx="995680" cy="300990"/>
            <wp:effectExtent l="0" t="0" r="10160" b="3810"/>
            <wp:docPr id="468081406" name="图片 468081406" descr="C:\Users\DELL\Desktop\任务.png任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6" name="图片 468081406" descr="C:\Users\DELL\Desktop\任务.png任务"/>
                    <pic:cNvPicPr>
                      <a:picLocks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30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8"/>
        </w:rPr>
        <w:t>，自动任务</w:t>
      </w:r>
      <w:r>
        <w:rPr>
          <w:rStyle w:val="20"/>
          <w:rFonts w:hint="eastAsia" w:ascii="Segoe UI" w:hAnsi="Segoe UI" w:cs="Segoe UI"/>
          <w:b w:val="0"/>
          <w:bCs/>
          <w:color w:val="404040"/>
          <w:sz w:val="28"/>
        </w:rPr>
        <w:t>开启</w:t>
      </w:r>
      <w:r>
        <w:rPr>
          <w:rStyle w:val="20"/>
          <w:rFonts w:ascii="Segoe UI" w:hAnsi="Segoe UI" w:cs="Segoe UI" w:eastAsiaTheme="minorEastAsia"/>
          <w:b w:val="0"/>
          <w:bCs/>
          <w:color w:val="404040"/>
          <w:sz w:val="28"/>
        </w:rPr>
        <w:drawing>
          <wp:inline distT="0" distB="0" distL="114300" distR="114300">
            <wp:extent cx="254000" cy="254000"/>
            <wp:effectExtent l="0" t="0" r="5080" b="5080"/>
            <wp:docPr id="468081407" name="图片 468081407" descr="O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407" name="图片 468081407" descr="Ok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0"/>
          <w:rFonts w:hint="eastAsia" w:ascii="Segoe UI" w:hAnsi="Segoe UI" w:cs="Segoe UI" w:eastAsiaTheme="minorEastAsia"/>
          <w:b w:val="0"/>
          <w:bCs/>
          <w:color w:val="404040"/>
          <w:sz w:val="28"/>
        </w:rPr>
        <w:t>且左下角系统阶段为</w:t>
      </w:r>
      <w:r>
        <w:rPr>
          <w:rStyle w:val="20"/>
          <w:rFonts w:ascii="Segoe UI" w:hAnsi="Segoe UI" w:cs="Segoe UI" w:eastAsiaTheme="minorEastAsia"/>
          <w:b w:val="0"/>
          <w:bCs/>
          <w:color w:val="404040"/>
          <w:sz w:val="28"/>
        </w:rPr>
        <w:t>”</w:t>
      </w:r>
      <w:r>
        <w:rPr>
          <w:rStyle w:val="20"/>
          <w:rFonts w:hint="eastAsia" w:ascii="Segoe UI" w:hAnsi="Segoe UI" w:cs="Segoe UI" w:eastAsiaTheme="minorEastAsia"/>
          <w:b w:val="0"/>
          <w:bCs/>
          <w:color w:val="404040"/>
          <w:sz w:val="28"/>
        </w:rPr>
        <w:t>工作</w:t>
      </w:r>
      <w:r>
        <w:rPr>
          <w:rStyle w:val="20"/>
          <w:rFonts w:ascii="Segoe UI" w:hAnsi="Segoe UI" w:cs="Segoe UI" w:eastAsiaTheme="minorEastAsia"/>
          <w:b w:val="0"/>
          <w:bCs/>
          <w:color w:val="404040"/>
          <w:sz w:val="28"/>
        </w:rPr>
        <w:t>”</w:t>
      </w:r>
      <w:r>
        <w:rPr>
          <w:rStyle w:val="20"/>
          <w:rFonts w:hint="eastAsia" w:ascii="Segoe UI" w:hAnsi="Segoe UI" w:cs="Segoe UI"/>
          <w:b w:val="0"/>
          <w:bCs/>
          <w:color w:val="404040"/>
          <w:sz w:val="28"/>
        </w:rPr>
        <w:t>时，启用通道方可根据检测间隔进行周期采样。</w:t>
      </w:r>
    </w:p>
    <w:p w14:paraId="02025141">
      <w:pPr>
        <w:pStyle w:val="15"/>
        <w:spacing w:beforeAutospacing="0" w:afterAutospacing="0"/>
        <w:ind w:firstLine="560" w:firstLineChars="200"/>
        <w:rPr>
          <w:rFonts w:ascii="Segoe UI" w:hAnsi="Segoe UI" w:cs="Segoe UI" w:eastAsiaTheme="minorEastAsia"/>
          <w:color w:val="404040"/>
          <w:sz w:val="28"/>
        </w:rPr>
      </w:pPr>
      <w:r>
        <w:rPr>
          <w:rFonts w:hint="eastAsia" w:ascii="Segoe UI" w:hAnsi="Segoe UI" w:cs="Segoe UI"/>
          <w:color w:val="404040"/>
          <w:sz w:val="28"/>
        </w:rPr>
        <w:t>编辑</w:t>
      </w:r>
      <w:r>
        <w:rPr>
          <w:rFonts w:ascii="Segoe UI" w:hAnsi="Segoe UI" w:eastAsia="Segoe UI" w:cs="Segoe UI"/>
          <w:color w:val="404040"/>
          <w:sz w:val="28"/>
        </w:rPr>
        <w:t>参数后需点击【</w:t>
      </w:r>
      <w:r>
        <w:rPr>
          <w:rFonts w:hint="eastAsia" w:ascii="Segoe UI" w:hAnsi="Segoe UI" w:cs="Segoe UI"/>
          <w:color w:val="404040"/>
          <w:sz w:val="28"/>
        </w:rPr>
        <w:t>确定</w:t>
      </w:r>
      <w:r>
        <w:rPr>
          <w:rFonts w:ascii="Segoe UI" w:hAnsi="Segoe UI" w:eastAsia="Segoe UI" w:cs="Segoe UI"/>
          <w:color w:val="404040"/>
          <w:sz w:val="28"/>
        </w:rPr>
        <w:t>】生效，正在运行的通道需等待当前周期完成后切换。</w:t>
      </w:r>
    </w:p>
    <w:p w14:paraId="0EB3EB4D">
      <w:pPr>
        <w:ind w:firstLine="420"/>
      </w:pPr>
      <w:r>
        <w:rPr>
          <w:rFonts w:hint="eastAsia"/>
          <w:sz w:val="28"/>
          <w:szCs w:val="28"/>
        </w:rPr>
        <w:t>2.点击上方任务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995680" cy="300990"/>
            <wp:effectExtent l="0" t="0" r="10160" b="3810"/>
            <wp:docPr id="64" name="图片 64" descr="C:\Users\DELL\Desktop\任务.png任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C:\Users\DELL\Desktop\任务.png任务"/>
                    <pic:cNvPicPr>
                      <a:picLocks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30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>按钮，显示任务设置页，如图所示。</w:t>
      </w:r>
    </w:p>
    <w:p w14:paraId="2C6F6A15">
      <w:pPr>
        <w:jc w:val="center"/>
      </w:pPr>
      <w:r>
        <w:rPr>
          <w:lang w:val="en-US" w:bidi="ar-SA"/>
        </w:rPr>
        <w:drawing>
          <wp:inline distT="0" distB="0" distL="114300" distR="114300">
            <wp:extent cx="3697605" cy="2958465"/>
            <wp:effectExtent l="0" t="0" r="5715" b="13335"/>
            <wp:docPr id="65" name="图片 8" descr="C:\Users\DELL\Pictures\Screenshots\屏幕截图 2025-03-24 081614.png屏幕截图 2025-03-24 08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8" descr="C:\Users\DELL\Pictures\Screenshots\屏幕截图 2025-03-24 081614.png屏幕截图 2025-03-24 081614"/>
                    <pic:cNvPicPr>
                      <a:picLocks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760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7B92B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设备任务设置页</w:t>
      </w:r>
    </w:p>
    <w:p w14:paraId="7CB22399">
      <w:pPr>
        <w:pStyle w:val="15"/>
        <w:spacing w:beforeAutospacing="0" w:afterAutospacing="0"/>
        <w:ind w:firstLine="560" w:firstLineChars="200"/>
        <w:rPr>
          <w:rFonts w:ascii="Segoe UI" w:hAnsi="Segoe UI" w:eastAsia="Segoe UI" w:cs="Segoe UI"/>
          <w:color w:val="404040"/>
          <w:sz w:val="28"/>
        </w:rPr>
      </w:pPr>
      <w:r>
        <w:rPr>
          <w:rFonts w:ascii="Segoe UI" w:hAnsi="Segoe UI" w:eastAsia="Segoe UI" w:cs="Segoe UI"/>
          <w:color w:val="404040"/>
          <w:sz w:val="28"/>
        </w:rPr>
        <w:t>启用“自动检测</w:t>
      </w:r>
      <w:r>
        <w:rPr>
          <w:rFonts w:hint="eastAsia" w:ascii="Segoe UI" w:hAnsi="Segoe UI" w:cs="Segoe UI"/>
          <w:color w:val="404040"/>
          <w:sz w:val="28"/>
        </w:rPr>
        <w:t>样品</w:t>
      </w:r>
      <w:r>
        <w:rPr>
          <w:rFonts w:ascii="Segoe UI" w:hAnsi="Segoe UI" w:eastAsia="Segoe UI" w:cs="Segoe UI"/>
          <w:color w:val="404040"/>
          <w:sz w:val="28"/>
        </w:rPr>
        <w:t>”后，设备按设定间隔</w:t>
      </w:r>
      <w:r>
        <w:rPr>
          <w:rFonts w:ascii="Segoe UI" w:hAnsi="Segoe UI" w:cs="Segoe UI"/>
          <w:color w:val="404040"/>
          <w:sz w:val="28"/>
        </w:rPr>
        <w:t>”</w:t>
      </w:r>
      <w:r>
        <w:rPr>
          <w:rFonts w:hint="eastAsia" w:ascii="Segoe UI" w:hAnsi="Segoe UI" w:cs="Segoe UI"/>
          <w:color w:val="404040"/>
          <w:sz w:val="28"/>
        </w:rPr>
        <w:t>自动检测样品间隔(小时)</w:t>
      </w:r>
      <w:r>
        <w:rPr>
          <w:rFonts w:ascii="Segoe UI" w:hAnsi="Segoe UI" w:cs="Segoe UI"/>
          <w:color w:val="404040"/>
          <w:sz w:val="28"/>
        </w:rPr>
        <w:t>”</w:t>
      </w:r>
      <w:r>
        <w:rPr>
          <w:rFonts w:ascii="Segoe UI" w:hAnsi="Segoe UI" w:eastAsia="Segoe UI" w:cs="Segoe UI"/>
          <w:color w:val="404040"/>
          <w:sz w:val="28"/>
        </w:rPr>
        <w:t>执行标准样品校准。</w:t>
      </w:r>
    </w:p>
    <w:p w14:paraId="4B97AB0E">
      <w:pPr>
        <w:pStyle w:val="15"/>
        <w:spacing w:before="206" w:beforeAutospacing="0" w:after="206" w:afterAutospacing="0"/>
        <w:ind w:firstLine="560" w:firstLineChars="200"/>
        <w:rPr>
          <w:rFonts w:ascii="Segoe UI" w:hAnsi="Segoe UI" w:cs="Segoe UI"/>
          <w:color w:val="404040"/>
          <w:sz w:val="28"/>
        </w:rPr>
      </w:pPr>
      <w:r>
        <w:rPr>
          <w:rFonts w:hint="eastAsia" w:ascii="Segoe UI" w:hAnsi="Segoe UI" w:cs="Segoe UI"/>
          <w:color w:val="404040"/>
          <w:sz w:val="28"/>
        </w:rPr>
        <w:t>启动</w:t>
      </w:r>
      <w:r>
        <w:rPr>
          <w:rFonts w:ascii="Segoe UI" w:hAnsi="Segoe UI" w:cs="Segoe UI"/>
          <w:color w:val="404040"/>
          <w:sz w:val="28"/>
        </w:rPr>
        <w:t>”</w:t>
      </w:r>
      <w:r>
        <w:rPr>
          <w:rFonts w:hint="eastAsia" w:ascii="Segoe UI" w:hAnsi="Segoe UI" w:cs="Segoe UI"/>
          <w:color w:val="404040"/>
          <w:sz w:val="28"/>
        </w:rPr>
        <w:t>自动任务</w:t>
      </w:r>
      <w:r>
        <w:rPr>
          <w:rFonts w:ascii="Segoe UI" w:hAnsi="Segoe UI" w:cs="Segoe UI"/>
          <w:color w:val="404040"/>
          <w:sz w:val="28"/>
        </w:rPr>
        <w:t>”</w:t>
      </w:r>
      <w:r>
        <w:rPr>
          <w:rFonts w:hint="eastAsia" w:ascii="Segoe UI" w:hAnsi="Segoe UI" w:cs="Segoe UI"/>
          <w:color w:val="404040"/>
          <w:sz w:val="28"/>
        </w:rPr>
        <w:t>后，</w:t>
      </w:r>
      <w:r>
        <w:rPr>
          <w:rStyle w:val="20"/>
          <w:rFonts w:hint="eastAsia" w:ascii="Segoe UI" w:hAnsi="Segoe UI" w:cs="Segoe UI"/>
          <w:bCs/>
          <w:color w:val="404040"/>
          <w:sz w:val="28"/>
        </w:rPr>
        <w:t>方可根据检测间隔进行周期采样。</w:t>
      </w:r>
    </w:p>
    <w:p w14:paraId="187F1F79">
      <w:pPr>
        <w:pStyle w:val="15"/>
        <w:spacing w:beforeAutospacing="0" w:afterAutospacing="0"/>
        <w:ind w:firstLine="560" w:firstLineChars="200"/>
        <w:rPr>
          <w:rFonts w:ascii="Segoe UI" w:hAnsi="Segoe UI" w:cs="Segoe UI"/>
          <w:color w:val="404040"/>
          <w:sz w:val="28"/>
        </w:rPr>
      </w:pPr>
      <w:r>
        <w:rPr>
          <w:rStyle w:val="20"/>
          <w:rFonts w:ascii="Segoe UI" w:hAnsi="Segoe UI" w:eastAsia="Segoe UI" w:cs="Segoe UI"/>
          <w:color w:val="404040"/>
          <w:sz w:val="28"/>
        </w:rPr>
        <w:t>通信服务器配置</w:t>
      </w:r>
      <w:r>
        <w:rPr>
          <w:rFonts w:ascii="Segoe UI" w:hAnsi="Segoe UI" w:eastAsia="Segoe UI" w:cs="Segoe UI"/>
          <w:color w:val="404040"/>
          <w:sz w:val="28"/>
        </w:rPr>
        <w:t>：</w:t>
      </w:r>
      <w:r>
        <w:rPr>
          <w:rFonts w:hint="eastAsia" w:ascii="Segoe UI" w:hAnsi="Segoe UI" w:cs="Segoe UI"/>
          <w:color w:val="404040"/>
          <w:sz w:val="28"/>
        </w:rPr>
        <w:t>OPC UA服务器和ModBusTcp服务器的启用，地址显示与设置。</w:t>
      </w:r>
    </w:p>
    <w:p w14:paraId="63DEBCFF">
      <w:pPr>
        <w:pStyle w:val="15"/>
        <w:spacing w:beforeAutospacing="0" w:afterAutospacing="0"/>
        <w:ind w:firstLine="560" w:firstLineChars="200"/>
        <w:rPr>
          <w:sz w:val="28"/>
        </w:rPr>
      </w:pPr>
      <w:r>
        <w:rPr>
          <w:rFonts w:hint="eastAsia" w:ascii="Segoe UI" w:hAnsi="Segoe UI" w:cs="Segoe UI"/>
          <w:color w:val="404040"/>
          <w:sz w:val="28"/>
        </w:rPr>
        <w:t>http post启用发送和目标地址显示和设置。</w:t>
      </w:r>
    </w:p>
    <w:p w14:paraId="6F0856C9">
      <w:pPr>
        <w:ind w:firstLine="420"/>
        <w:jc w:val="center"/>
        <w:rPr>
          <w:lang w:val="en-US"/>
        </w:rPr>
      </w:pPr>
    </w:p>
    <w:p w14:paraId="11F49335">
      <w:pPr>
        <w:autoSpaceDE/>
        <w:autoSpaceDN/>
        <w:jc w:val="both"/>
        <w:outlineLvl w:val="2"/>
        <w:rPr>
          <w:rFonts w:cstheme="majorEastAsia"/>
          <w:b/>
          <w:kern w:val="2"/>
          <w:sz w:val="28"/>
          <w:szCs w:val="28"/>
          <w:lang w:val="en-US" w:bidi="ar-SA"/>
        </w:rPr>
      </w:pPr>
      <w:bookmarkStart w:id="13" w:name="检测室"/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>3.6.4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>设备样品页</w:t>
      </w:r>
    </w:p>
    <w:p w14:paraId="4041D372">
      <w:pPr>
        <w:pStyle w:val="15"/>
        <w:spacing w:beforeAutospacing="0" w:afterAutospacing="0"/>
        <w:ind w:firstLine="560" w:firstLineChars="200"/>
        <w:rPr>
          <w:rFonts w:ascii="Segoe UI" w:hAnsi="Segoe UI" w:cs="Segoe UI"/>
          <w:color w:val="404040"/>
          <w:sz w:val="28"/>
        </w:rPr>
      </w:pPr>
      <w:r>
        <w:rPr>
          <w:rFonts w:hint="eastAsia" w:ascii="Segoe UI" w:hAnsi="Segoe UI" w:cs="Segoe UI"/>
          <w:color w:val="404040"/>
          <w:sz w:val="28"/>
        </w:rPr>
        <w:t>点击侧边菜单栏样品</w:t>
      </w:r>
      <w:r>
        <w:rPr>
          <w:rFonts w:hint="eastAsia" w:ascii="Segoe UI" w:hAnsi="Segoe UI" w:cs="Segoe UI"/>
          <w:color w:val="404040"/>
          <w:sz w:val="28"/>
        </w:rPr>
        <w:drawing>
          <wp:inline distT="0" distB="0" distL="114300" distR="114300">
            <wp:extent cx="361315" cy="361315"/>
            <wp:effectExtent l="0" t="0" r="4445" b="4445"/>
            <wp:docPr id="66" name="图片 66" descr="D:\svn\XRF\Source\Src\Res\Image\MainWindow\Sample01.pngSample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D:\svn\XRF\Source\Src\Res\Image\MainWindow\Sample01.pngSample01"/>
                    <pic:cNvPicPr>
                      <a:picLocks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Segoe UI" w:hAnsi="Segoe UI" w:cs="Segoe UI"/>
          <w:color w:val="404040"/>
          <w:sz w:val="28"/>
        </w:rPr>
        <w:t>按钮，切换到设备样品页，如图所示。</w:t>
      </w:r>
    </w:p>
    <w:p w14:paraId="0CA434D6">
      <w:pPr>
        <w:pStyle w:val="5"/>
        <w:jc w:val="center"/>
        <w:rPr>
          <w:rFonts w:asciiTheme="majorEastAsia" w:hAnsiTheme="majorEastAsia" w:eastAsiaTheme="majorEastAsia" w:cstheme="majorEastAsia"/>
          <w:b/>
          <w:kern w:val="2"/>
          <w:sz w:val="24"/>
          <w:szCs w:val="24"/>
          <w:lang w:val="en-US" w:bidi="ar-SA"/>
        </w:rPr>
      </w:pPr>
      <w:bookmarkStart w:id="14" w:name="_Toc193987084"/>
      <w:r>
        <w:rPr>
          <w:lang w:val="en-US" w:bidi="ar-SA"/>
        </w:rPr>
        <w:drawing>
          <wp:inline distT="0" distB="0" distL="114300" distR="114300">
            <wp:extent cx="3916045" cy="3133725"/>
            <wp:effectExtent l="0" t="0" r="635" b="5715"/>
            <wp:docPr id="34" name="图片 10" descr="D:\svn\ASH\文档\X荧光智能矿浆灰分分析仪_软件界面\样品.png样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0" descr="D:\svn\ASH\文档\X荧光智能矿浆灰分分析仪_软件界面\样品.png样品"/>
                    <pic:cNvPicPr>
                      <a:picLocks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9175" cy="313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4"/>
    </w:p>
    <w:p w14:paraId="60CAA128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设备样品信息表页</w:t>
      </w:r>
      <w:bookmarkEnd w:id="13"/>
    </w:p>
    <w:p w14:paraId="67C0AE2F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</w:rPr>
        <w:t>在</w:t>
      </w:r>
      <w:r>
        <w:rPr>
          <w:rFonts w:hint="eastAsia"/>
          <w:sz w:val="28"/>
          <w:szCs w:val="28"/>
          <w:lang w:val="en-US"/>
        </w:rPr>
        <w:t>这个</w:t>
      </w:r>
      <w:r>
        <w:rPr>
          <w:rFonts w:hint="eastAsia"/>
          <w:sz w:val="28"/>
          <w:szCs w:val="28"/>
        </w:rPr>
        <w:t>页面</w:t>
      </w:r>
      <w:r>
        <w:rPr>
          <w:rFonts w:hint="eastAsia"/>
          <w:sz w:val="28"/>
          <w:szCs w:val="28"/>
          <w:lang w:val="en-US"/>
        </w:rPr>
        <w:t>的</w:t>
      </w:r>
      <w:r>
        <w:rPr>
          <w:rFonts w:hint="eastAsia"/>
          <w:sz w:val="28"/>
          <w:szCs w:val="28"/>
        </w:rPr>
        <w:t>中心</w:t>
      </w:r>
      <w:r>
        <w:rPr>
          <w:rFonts w:hint="eastAsia"/>
          <w:sz w:val="28"/>
          <w:szCs w:val="28"/>
          <w:lang w:val="en-US"/>
        </w:rPr>
        <w:t>，可以看到设备的样品信息表</w:t>
      </w:r>
      <w:r>
        <w:rPr>
          <w:rFonts w:hint="eastAsia"/>
          <w:sz w:val="28"/>
          <w:szCs w:val="28"/>
        </w:rPr>
        <w:t>，</w:t>
      </w:r>
      <w:r>
        <w:rPr>
          <w:rFonts w:hint="eastAsia"/>
          <w:sz w:val="28"/>
          <w:szCs w:val="28"/>
          <w:lang w:val="en-US"/>
        </w:rPr>
        <w:t>可以</w:t>
      </w:r>
      <w:r>
        <w:rPr>
          <w:rFonts w:hint="eastAsia"/>
          <w:sz w:val="28"/>
          <w:szCs w:val="28"/>
        </w:rPr>
        <w:t>利用鼠标</w:t>
      </w:r>
      <w:r>
        <w:rPr>
          <w:rFonts w:hint="eastAsia"/>
          <w:sz w:val="28"/>
          <w:szCs w:val="28"/>
          <w:lang w:val="en-US"/>
        </w:rPr>
        <w:t>调整各列宽度</w:t>
      </w:r>
      <w:r>
        <w:rPr>
          <w:rFonts w:hint="eastAsia"/>
          <w:sz w:val="28"/>
          <w:szCs w:val="28"/>
        </w:rPr>
        <w:t>，放大来达到全方位了解</w:t>
      </w:r>
      <w:r>
        <w:rPr>
          <w:rFonts w:hint="eastAsia"/>
          <w:sz w:val="28"/>
          <w:szCs w:val="28"/>
          <w:lang w:val="en-US"/>
        </w:rPr>
        <w:t>样品</w:t>
      </w:r>
      <w:r>
        <w:rPr>
          <w:rFonts w:hint="eastAsia"/>
          <w:sz w:val="28"/>
          <w:szCs w:val="28"/>
        </w:rPr>
        <w:t>情况</w:t>
      </w:r>
      <w:r>
        <w:rPr>
          <w:rFonts w:hint="eastAsia"/>
          <w:sz w:val="28"/>
          <w:szCs w:val="28"/>
          <w:lang w:val="en-US"/>
        </w:rPr>
        <w:t>的目的</w:t>
      </w:r>
      <w:r>
        <w:rPr>
          <w:rFonts w:hint="eastAsia"/>
          <w:sz w:val="28"/>
          <w:szCs w:val="28"/>
        </w:rPr>
        <w:t>。</w:t>
      </w:r>
      <w:r>
        <w:rPr>
          <w:rFonts w:hint="eastAsia"/>
          <w:sz w:val="28"/>
          <w:szCs w:val="28"/>
          <w:lang w:val="en-US"/>
        </w:rPr>
        <w:t>表中从左到右分别展示了各样品对应的编号、名称、工作模式、高峰通道、总光子数、创建时间。右侧是否启用列按钮可以调整样本检测启用状态，在已启用列点击检测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737870" cy="300990"/>
            <wp:effectExtent l="0" t="0" r="8890" b="3810"/>
            <wp:docPr id="37" name="图片 37" descr="C:\Users\DELL\Desktop\检测.png检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DELL\Desktop\检测.png检测"/>
                    <pic:cNvPicPr>
                      <a:picLocks noChangeAspect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7870" cy="30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按钮，弹出样品检测窗口如图所示。</w:t>
      </w:r>
    </w:p>
    <w:p w14:paraId="722B1799">
      <w:pPr>
        <w:jc w:val="center"/>
      </w:pPr>
      <w:r>
        <w:rPr>
          <w:lang w:val="en-US" w:bidi="ar-SA"/>
        </w:rPr>
        <w:drawing>
          <wp:inline distT="0" distB="0" distL="114300" distR="114300">
            <wp:extent cx="3698240" cy="2958465"/>
            <wp:effectExtent l="0" t="0" r="5080" b="13335"/>
            <wp:docPr id="67" name="图片 10" descr="D:\svn\ASH\文档\X荧光智能矿浆灰分分析仪_软件界面\样品_检测.png样品_检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0" descr="D:\svn\ASH\文档\X荧光智能矿浆灰分分析仪_软件界面\样品_检测.png样品_检测"/>
                    <pic:cNvPicPr>
                      <a:picLocks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824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39090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检测样品信息窗口</w:t>
      </w:r>
    </w:p>
    <w:p w14:paraId="6D5A05CF">
      <w:pPr>
        <w:pStyle w:val="15"/>
        <w:spacing w:beforeAutospacing="0" w:afterAutospacing="0"/>
        <w:ind w:firstLine="560" w:firstLineChars="200"/>
        <w:rPr>
          <w:sz w:val="28"/>
        </w:rPr>
      </w:pPr>
      <w:r>
        <w:rPr>
          <w:rFonts w:ascii="Segoe UI" w:hAnsi="Segoe UI" w:eastAsia="Segoe UI" w:cs="Segoe UI"/>
          <w:color w:val="404040"/>
          <w:sz w:val="28"/>
        </w:rPr>
        <w:t>获取</w:t>
      </w:r>
      <w:r>
        <w:rPr>
          <w:rFonts w:hint="eastAsia"/>
          <w:sz w:val="28"/>
        </w:rPr>
        <w:t>从样品中检测到的信息，包含标准光子数、测试光子数、偏差率、,标准高峰通道和测试高峰通道</w:t>
      </w:r>
      <w:r>
        <w:rPr>
          <w:rFonts w:ascii="Segoe UI" w:hAnsi="Segoe UI" w:eastAsia="Segoe UI" w:cs="Segoe UI"/>
          <w:color w:val="404040"/>
          <w:sz w:val="28"/>
        </w:rPr>
        <w:t>，</w:t>
      </w:r>
      <w:r>
        <w:rPr>
          <w:rFonts w:hint="eastAsia" w:ascii="Segoe UI" w:hAnsi="Segoe UI" w:cs="Segoe UI"/>
          <w:color w:val="404040"/>
          <w:sz w:val="28"/>
        </w:rPr>
        <w:t>更新样品表中数据</w:t>
      </w:r>
      <w:r>
        <w:rPr>
          <w:rFonts w:ascii="Segoe UI" w:hAnsi="Segoe UI" w:eastAsia="Segoe UI" w:cs="Segoe UI"/>
          <w:color w:val="404040"/>
          <w:sz w:val="28"/>
        </w:rPr>
        <w:t>。</w:t>
      </w:r>
    </w:p>
    <w:p w14:paraId="7EFAA422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点击编辑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737870" cy="296545"/>
            <wp:effectExtent l="0" t="0" r="8890" b="8255"/>
            <wp:docPr id="68" name="图片 68" descr="C:\Users\DELL\Desktop\编辑.png编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C:\Users\DELL\Desktop\编辑.png编辑"/>
                    <pic:cNvPicPr>
                      <a:picLocks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7870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按钮，弹出编辑样品信息窗口如图所示。</w:t>
      </w:r>
    </w:p>
    <w:p w14:paraId="466B669F">
      <w:pPr>
        <w:jc w:val="center"/>
      </w:pPr>
      <w:r>
        <w:rPr>
          <w:lang w:val="en-US" w:bidi="ar-SA"/>
        </w:rPr>
        <w:drawing>
          <wp:inline distT="0" distB="0" distL="114300" distR="114300">
            <wp:extent cx="3697605" cy="2958465"/>
            <wp:effectExtent l="0" t="0" r="5715" b="13335"/>
            <wp:docPr id="69" name="图片 10" descr="D:\svn\ASH\文档\X荧光智能矿浆灰分分析仪_软件界面\样品_编辑.png样品_编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0" descr="D:\svn\ASH\文档\X荧光智能矿浆灰分分析仪_软件界面\样品_编辑.png样品_编辑"/>
                    <pic:cNvPicPr>
                      <a:picLocks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760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269C4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编辑样品信息窗口</w:t>
      </w:r>
    </w:p>
    <w:p w14:paraId="0DBF9A81">
      <w:pPr>
        <w:spacing w:line="360" w:lineRule="auto"/>
        <w:ind w:firstLine="420"/>
        <w:jc w:val="both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val="en-US"/>
        </w:rPr>
        <w:t>在这个窗口中，可以通过修改输入框中参数并点击确定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609600" cy="257175"/>
            <wp:effectExtent l="0" t="0" r="0" b="1905"/>
            <wp:docPr id="70" name="图片 70" descr="确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确定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按钮来修改样品在表中的信息。</w:t>
      </w:r>
    </w:p>
    <w:p w14:paraId="32B30EC2">
      <w:pPr>
        <w:autoSpaceDE/>
        <w:autoSpaceDN/>
        <w:jc w:val="both"/>
        <w:outlineLvl w:val="2"/>
        <w:rPr>
          <w:rFonts w:cstheme="majorEastAsia"/>
          <w:b/>
          <w:kern w:val="2"/>
          <w:sz w:val="28"/>
          <w:szCs w:val="28"/>
          <w:lang w:val="en-US" w:bidi="ar-SA"/>
        </w:rPr>
      </w:pPr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 xml:space="preserve">3.6.5 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>设备分析页</w:t>
      </w:r>
    </w:p>
    <w:p w14:paraId="65BF83F9">
      <w:pPr>
        <w:spacing w:line="360" w:lineRule="auto"/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点击侧边菜单栏</w:t>
      </w:r>
      <w:r>
        <w:rPr>
          <w:rFonts w:hint="eastAsia"/>
          <w:sz w:val="28"/>
          <w:szCs w:val="28"/>
          <w:lang w:val="en-US"/>
        </w:rPr>
        <w:t>分析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61315" cy="361315"/>
            <wp:effectExtent l="0" t="0" r="4445" b="4445"/>
            <wp:docPr id="76" name="图片 76" descr="D:\svn\XRF\Source\Src\Res\Image\MainWindow\Running01.pngRunning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D:\svn\XRF\Source\Src\Res\Image\MainWindow\Running01.pngRunning01"/>
                    <pic:cNvPicPr>
                      <a:picLocks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</w:t>
      </w:r>
      <w:r>
        <w:rPr>
          <w:rFonts w:hint="eastAsia"/>
          <w:sz w:val="28"/>
          <w:szCs w:val="28"/>
        </w:rPr>
        <w:t>后，可以看到</w:t>
      </w:r>
      <w:r>
        <w:rPr>
          <w:rFonts w:hint="eastAsia"/>
          <w:sz w:val="28"/>
          <w:szCs w:val="28"/>
          <w:lang w:eastAsia="zh-Hans"/>
        </w:rPr>
        <w:t>在页面</w:t>
      </w:r>
      <w:r>
        <w:rPr>
          <w:rFonts w:hint="eastAsia"/>
          <w:sz w:val="28"/>
          <w:szCs w:val="28"/>
          <w:lang w:val="en-US"/>
        </w:rPr>
        <w:t>上</w:t>
      </w:r>
      <w:r>
        <w:rPr>
          <w:rFonts w:hint="eastAsia"/>
          <w:sz w:val="28"/>
          <w:szCs w:val="28"/>
          <w:lang w:eastAsia="zh-Hans"/>
        </w:rPr>
        <w:t>方有</w:t>
      </w:r>
      <w:r>
        <w:rPr>
          <w:rFonts w:hint="eastAsia"/>
          <w:sz w:val="28"/>
          <w:szCs w:val="28"/>
          <w:lang w:val="en-US"/>
        </w:rPr>
        <w:t>数个操作按钮控制设备，其中启动、关机</w:t>
      </w:r>
      <w:r>
        <w:rPr>
          <w:sz w:val="28"/>
          <w:szCs w:val="28"/>
          <w:lang w:val="en-US" w:bidi="ar-SA"/>
        </w:rPr>
        <w:drawing>
          <wp:inline distT="0" distB="0" distL="114300" distR="114300">
            <wp:extent cx="868045" cy="180975"/>
            <wp:effectExtent l="0" t="0" r="635" b="1905"/>
            <wp:docPr id="818996928" name="图片 26" descr="C:\Users\DELL\Pictures\Screenshots\屏幕截图 2025-03-24 082402.png屏幕截图 2025-03-24 082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28" name="图片 26" descr="C:\Users\DELL\Pictures\Screenshots\屏幕截图 2025-03-24 082402.png屏幕截图 2025-03-24 082402"/>
                    <pic:cNvPicPr>
                      <a:picLocks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804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控制设备运转；数据、详情</w:t>
      </w:r>
      <w:r>
        <w:rPr>
          <w:sz w:val="28"/>
          <w:szCs w:val="28"/>
          <w:lang w:val="en-US" w:bidi="ar-SA"/>
        </w:rPr>
        <w:drawing>
          <wp:inline distT="0" distB="0" distL="114300" distR="114300">
            <wp:extent cx="802640" cy="172085"/>
            <wp:effectExtent l="0" t="0" r="5080" b="10795"/>
            <wp:docPr id="818996929" name="图片 26" descr="C:\Users\DELL\Pictures\Screenshots\屏幕截图 2025-03-24 082410.png屏幕截图 2025-03-24 082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29" name="图片 26" descr="C:\Users\DELL\Pictures\Screenshots\屏幕截图 2025-03-24 082410.png屏幕截图 2025-03-24 082410"/>
                    <pic:cNvPicPr>
                      <a:picLocks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分别展示制样通道的实时数据表格曲线和光谱曲线。</w:t>
      </w:r>
    </w:p>
    <w:p w14:paraId="67F3D731">
      <w:pPr>
        <w:spacing w:line="360" w:lineRule="auto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1.点击启动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875665" cy="328295"/>
            <wp:effectExtent l="0" t="0" r="8255" b="6985"/>
            <wp:docPr id="818996930" name="图片 818996930" descr="C:\Users\DELL\Desktop\启动.png启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0" name="图片 818996930" descr="C:\Users\DELL\Desktop\启动.png启动"/>
                    <pic:cNvPicPr>
                      <a:picLocks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665" cy="32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按钮，弹出启动检测弹窗如图所示。</w:t>
      </w:r>
    </w:p>
    <w:p w14:paraId="44E5D5FB">
      <w:pPr>
        <w:jc w:val="center"/>
      </w:pPr>
      <w:r>
        <w:rPr>
          <w:lang w:val="en-US" w:bidi="ar-SA"/>
        </w:rPr>
        <w:drawing>
          <wp:inline distT="0" distB="0" distL="114300" distR="114300">
            <wp:extent cx="3209925" cy="2567940"/>
            <wp:effectExtent l="0" t="0" r="5715" b="7620"/>
            <wp:docPr id="818996931" name="图片 818996931" descr="C:\Users\DELL\Pictures\Screenshots\屏幕截图 2025-03-21 150819.png屏幕截图 2025-03-21 150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1" name="图片 818996931" descr="C:\Users\DELL\Pictures\Screenshots\屏幕截图 2025-03-21 150819.png屏幕截图 2025-03-21 150819"/>
                    <pic:cNvPicPr>
                      <a:picLocks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2226" cy="256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D7A96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设备启动窗口</w:t>
      </w:r>
    </w:p>
    <w:p w14:paraId="348B8438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在这个窗口中，设备将依次初始化射线源连接、传感器连接、下位机通信和下位机自检。其中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26390" cy="326390"/>
            <wp:effectExtent l="0" t="0" r="0" b="8890"/>
            <wp:docPr id="24" name="图片 24" descr="Wa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Wait"/>
                    <pic:cNvPicPr>
                      <a:picLocks noChangeAspect="1"/>
                    </pic:cNvPicPr>
                  </pic:nvPicPr>
                  <pic:blipFill>
                    <a:blip r:embed="rId54"/>
                    <a:srcRect l="-3332" t="-3332" r="-3332" b="-3332"/>
                    <a:stretch>
                      <a:fillRect/>
                    </a:stretch>
                  </pic:blipFill>
                  <pic:spPr>
                    <a:xfrm>
                      <a:off x="0" y="0"/>
                      <a:ext cx="326390" cy="3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符号表示等待初始化，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04800" cy="304800"/>
            <wp:effectExtent l="0" t="0" r="0" b="0"/>
            <wp:docPr id="818996932" name="图片 818996932" descr="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2" name="图片 818996932" descr="Ok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符号表示初始化完成，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04800" cy="304800"/>
            <wp:effectExtent l="0" t="0" r="0" b="0"/>
            <wp:docPr id="26" name="图片 26" descr="Can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ancel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符号表示初始化失败，如果在这个流程中出现错误或手动点击中止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744855" cy="300990"/>
            <wp:effectExtent l="0" t="0" r="1905" b="3810"/>
            <wp:docPr id="818996934" name="图片 818996934" descr="C:\Users\DELL\Desktop\中止.png中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4" name="图片 818996934" descr="C:\Users\DELL\Desktop\中止.png中止"/>
                    <pic:cNvPicPr>
                      <a:picLocks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4855" cy="30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按钮，设备会立即结束启动，并于3秒后关闭窗口；如果检测全部正常通过，设备将启动，进入工作状态，并在软件左下角系统阶段显示。</w:t>
      </w:r>
    </w:p>
    <w:p w14:paraId="1D3A0A0F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2.在工作状态点击关机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875665" cy="322580"/>
            <wp:effectExtent l="0" t="0" r="8255" b="12700"/>
            <wp:docPr id="72" name="图片 72" descr="C:\Users\DELL\Desktop\关机.png关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C:\Users\DELL\Desktop\关机.png关机"/>
                    <pic:cNvPicPr>
                      <a:picLocks noChangeAspect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665" cy="32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按钮，弹出关机信息显示弹窗如图所示。</w:t>
      </w:r>
    </w:p>
    <w:p w14:paraId="6C74BA66">
      <w:pPr>
        <w:jc w:val="center"/>
      </w:pPr>
      <w:r>
        <w:rPr>
          <w:lang w:val="en-US" w:bidi="ar-SA"/>
        </w:rPr>
        <w:drawing>
          <wp:inline distT="0" distB="0" distL="114300" distR="114300">
            <wp:extent cx="3190875" cy="2552700"/>
            <wp:effectExtent l="0" t="0" r="9525" b="7620"/>
            <wp:docPr id="73" name="图片 73" descr="C:\Users\DELL\Pictures\Screenshots\屏幕截图 2025-03-21 155109.png屏幕截图 2025-03-21 155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C:\Users\DELL\Pictures\Screenshots\屏幕截图 2025-03-21 155109.png屏幕截图 2025-03-21 155109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3162" cy="25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C794E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设备关机信息窗口</w:t>
      </w:r>
    </w:p>
    <w:p w14:paraId="75AA7BFA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点击确认，结束工作任务，系统阶段回到空闲状态，不再派单，设备在当前小流程结束后停止。</w:t>
      </w:r>
    </w:p>
    <w:p w14:paraId="0105485D">
      <w:pPr>
        <w:spacing w:line="360" w:lineRule="auto"/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3.在设备的分析页面下，默认显示的是数据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875665" cy="360680"/>
            <wp:effectExtent l="0" t="0" r="8255" b="5080"/>
            <wp:docPr id="818996935" name="图片 818996935" descr="C:\Users\DELL\Desktop\数据.png数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5" name="图片 818996935" descr="C:\Users\DELL\Desktop\数据.png数据"/>
                    <pic:cNvPicPr>
                      <a:picLocks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665" cy="36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页，如图所示。</w:t>
      </w:r>
    </w:p>
    <w:p w14:paraId="6202B8D5">
      <w:pPr>
        <w:jc w:val="center"/>
      </w:pPr>
      <w:r>
        <w:rPr>
          <w:lang w:val="en-US" w:bidi="ar-SA"/>
        </w:rPr>
        <w:drawing>
          <wp:inline distT="0" distB="0" distL="114300" distR="114300">
            <wp:extent cx="3324225" cy="2659380"/>
            <wp:effectExtent l="0" t="0" r="13335" b="7620"/>
            <wp:docPr id="28" name="图片 28" descr="C:\Users\DELL\Pictures\Screenshots\屏幕截图 2025-03-21 150803.png屏幕截图 2025-03-21 15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DELL\Pictures\Screenshots\屏幕截图 2025-03-21 150803.png屏幕截图 2025-03-21 150803"/>
                    <pic:cNvPicPr>
                      <a:picLocks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2436B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设备分析数据页</w:t>
      </w:r>
    </w:p>
    <w:p w14:paraId="3C62A8B5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在这个页面中，可以看到两条制样通道的数据的实时显示，页面中表格元素与曲线元素一一对应。可以通过切换工艺点显示不同曲线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953770" cy="443230"/>
            <wp:effectExtent l="0" t="0" r="6350" b="13970"/>
            <wp:docPr id="818996936" name="图片 818996936" descr="屏幕截图 2024-06-03 142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6" name="图片 818996936" descr="屏幕截图 2024-06-03 14215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53770" cy="44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，这样就可以直观地看到各个通道的实时数据，也可以选择曲线横轴时间长度</w:t>
      </w:r>
      <w:r>
        <w:rPr>
          <w:sz w:val="28"/>
          <w:szCs w:val="28"/>
          <w:lang w:val="en-US" w:bidi="ar-SA"/>
        </w:rPr>
        <w:drawing>
          <wp:inline distT="0" distB="0" distL="114300" distR="114300">
            <wp:extent cx="702310" cy="948690"/>
            <wp:effectExtent l="0" t="0" r="13970" b="11430"/>
            <wp:docPr id="8189969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7" name="图片 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02310" cy="9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查看不同区间数据趋势，以便进行分析与决策。</w:t>
      </w:r>
    </w:p>
    <w:p w14:paraId="60CC0811">
      <w:pPr>
        <w:spacing w:line="360" w:lineRule="auto"/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4.点击上方详情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875665" cy="295275"/>
            <wp:effectExtent l="0" t="0" r="8255" b="9525"/>
            <wp:docPr id="818996938" name="图片 818996938" descr="C:\Users\DELL\Desktop\详情.png详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8" name="图片 818996938" descr="C:\Users\DELL\Desktop\详情.png详情"/>
                    <pic:cNvPicPr>
                      <a:picLocks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66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按钮，将显示设备分析详情页，如图所示。</w:t>
      </w:r>
    </w:p>
    <w:p w14:paraId="4BC67D85">
      <w:pPr>
        <w:jc w:val="center"/>
      </w:pPr>
      <w:r>
        <w:rPr>
          <w:lang w:val="en-US" w:bidi="ar-SA"/>
        </w:rPr>
        <w:drawing>
          <wp:inline distT="0" distB="0" distL="114300" distR="114300">
            <wp:extent cx="3324225" cy="2659380"/>
            <wp:effectExtent l="0" t="0" r="13335" b="7620"/>
            <wp:docPr id="818996939" name="图片 818996939" descr="C:\Users\DELL\Pictures\Screenshots\屏幕截图 2025-03-21 150808.png屏幕截图 2025-03-21 150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39" name="图片 818996939" descr="C:\Users\DELL\Pictures\Screenshots\屏幕截图 2025-03-21 150808.png屏幕截图 2025-03-21 150808"/>
                    <pic:cNvPicPr>
                      <a:picLocks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1CE5D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设备分析详情页</w:t>
      </w:r>
    </w:p>
    <w:p w14:paraId="75B80283">
      <w:pPr>
        <w:spacing w:line="480" w:lineRule="auto"/>
        <w:ind w:firstLine="420"/>
        <w:jc w:val="both"/>
        <w:rPr>
          <w:lang w:eastAsia="zh-Hans"/>
        </w:rPr>
      </w:pPr>
      <w:r>
        <w:rPr>
          <w:rFonts w:hint="eastAsia"/>
          <w:sz w:val="28"/>
          <w:szCs w:val="28"/>
          <w:lang w:val="en-US"/>
        </w:rPr>
        <w:t>在这个页面上，检测过程中可以看到实时升高的光谱，也可以点击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06705" cy="315595"/>
            <wp:effectExtent l="0" t="0" r="13335" b="4445"/>
            <wp:docPr id="818996940" name="图片 818996940" descr="C:\Users\DELL\Desktop\文件.png文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0" name="图片 818996940" descr="C:\Users\DELL\Desktop\文件.png文件"/>
                    <pic:cNvPicPr>
                      <a:picLocks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31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按钮打开历史光谱曲线，点击放大、缩小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875665" cy="160020"/>
            <wp:effectExtent l="0" t="0" r="8255" b="7620"/>
            <wp:docPr id="818996941" name="图片 818996941" descr="C:\Users\DELL\Desktop\放大缩小.png放大缩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1" name="图片 818996941" descr="C:\Users\DELL\Desktop\放大缩小.png放大缩小"/>
                    <pic:cNvPicPr>
                      <a:picLocks noChangeAspect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665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按钮通过调节x轴范围来调整曲线在控件中的显示</w:t>
      </w:r>
      <w:r>
        <w:rPr>
          <w:rFonts w:hint="eastAsia"/>
          <w:lang w:val="en-US"/>
        </w:rPr>
        <w:t>。</w:t>
      </w:r>
    </w:p>
    <w:p w14:paraId="615E3C1F">
      <w:pPr>
        <w:autoSpaceDE/>
        <w:autoSpaceDN/>
        <w:jc w:val="both"/>
        <w:outlineLvl w:val="2"/>
        <w:rPr>
          <w:rFonts w:cstheme="majorEastAsia"/>
          <w:b/>
          <w:kern w:val="2"/>
          <w:sz w:val="28"/>
          <w:szCs w:val="28"/>
          <w:lang w:val="en-US" w:bidi="ar-SA"/>
        </w:rPr>
      </w:pPr>
      <w:bookmarkStart w:id="15" w:name="_Toc720"/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>3.6.6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>设备历史页</w:t>
      </w:r>
      <w:bookmarkEnd w:id="15"/>
    </w:p>
    <w:p w14:paraId="198932FE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</w:rPr>
        <w:t>点击侧边菜单栏</w:t>
      </w:r>
      <w:r>
        <w:rPr>
          <w:rFonts w:hint="eastAsia"/>
          <w:sz w:val="28"/>
          <w:szCs w:val="28"/>
          <w:lang w:val="en-US"/>
        </w:rPr>
        <w:t>历史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61315" cy="361315"/>
            <wp:effectExtent l="0" t="0" r="4445" b="4445"/>
            <wp:docPr id="818996942" name="图片 818996942" descr="D:\svn\XRF\Source\Src\Res\Image\MainWindow\History01.pngHistory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2" name="图片 818996942" descr="D:\svn\XRF\Source\Src\Res\Image\MainWindow\History01.pngHistory01"/>
                    <pic:cNvPicPr>
                      <a:picLocks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</w:t>
      </w:r>
      <w:r>
        <w:rPr>
          <w:rFonts w:hint="eastAsia"/>
          <w:sz w:val="28"/>
          <w:szCs w:val="28"/>
        </w:rPr>
        <w:t>后，可以看到</w:t>
      </w:r>
      <w:r>
        <w:rPr>
          <w:rFonts w:hint="eastAsia"/>
          <w:sz w:val="28"/>
          <w:szCs w:val="28"/>
          <w:lang w:val="en-US"/>
        </w:rPr>
        <w:t>历史信息页，其中默认显示按ID查询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875665" cy="153035"/>
            <wp:effectExtent l="0" t="0" r="8255" b="14605"/>
            <wp:docPr id="58" name="图片 58" descr="C:\Users\DELL\Desktop\按ID查询.png按ID查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:\Users\DELL\Desktop\按ID查询.png按ID查询"/>
                    <pic:cNvPicPr>
                      <a:picLocks noChangeAspect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665" cy="15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的信息表，在这个页面中，可以在输入框中输入数据ID，然后点击查询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408305" cy="160020"/>
            <wp:effectExtent l="0" t="0" r="3175" b="7620"/>
            <wp:docPr id="818996943" name="图片 818996943" descr="C:\Users\DELL\Desktop\查询.png查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3" name="图片 818996943" descr="C:\Users\DELL\Desktop\查询.png查询"/>
                    <pic:cNvPicPr>
                      <a:picLocks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305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按钮，表格中显示对应ID的一条数据如图所示。</w:t>
      </w:r>
    </w:p>
    <w:p w14:paraId="5DDB35FF">
      <w:pPr>
        <w:jc w:val="center"/>
      </w:pPr>
      <w:r>
        <w:rPr>
          <w:lang w:val="en-US" w:bidi="ar-SA"/>
        </w:rPr>
        <w:drawing>
          <wp:inline distT="0" distB="0" distL="114300" distR="114300">
            <wp:extent cx="3324225" cy="2659380"/>
            <wp:effectExtent l="0" t="0" r="13335" b="7620"/>
            <wp:docPr id="818996944" name="图片 818996944" descr="D:\svn\ASH\文档\X荧光智能矿浆灰分分析仪_软件界面\历史_按ID查询.png历史_按ID查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4" name="图片 818996944" descr="D:\svn\ASH\文档\X荧光智能矿浆灰分分析仪_软件界面\历史_按ID查询.png历史_按ID查询"/>
                    <pic:cNvPicPr>
                      <a:picLocks noChangeAspect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CC93D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设备历史信息表格页</w:t>
      </w:r>
    </w:p>
    <w:p w14:paraId="5F22B2FD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点击顶部近七日数据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787400" cy="153035"/>
            <wp:effectExtent l="0" t="0" r="5080" b="14605"/>
            <wp:docPr id="818996945" name="图片 818996945" descr="C:\Users\DELL\Pictures\Screenshots\屏幕截图 2025-03-21 154206.png屏幕截图 2025-03-21 154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5" name="图片 818996945" descr="C:\Users\DELL\Pictures\Screenshots\屏幕截图 2025-03-21 154206.png屏幕截图 2025-03-21 154206"/>
                    <pic:cNvPicPr>
                      <a:picLocks noChangeAspect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15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按钮，将显示近七日的历史信息数据曲线，如图所示。</w:t>
      </w:r>
    </w:p>
    <w:p w14:paraId="7683E0CE">
      <w:pPr>
        <w:jc w:val="center"/>
      </w:pPr>
      <w:r>
        <w:rPr>
          <w:lang w:val="en-US" w:bidi="ar-SA"/>
        </w:rPr>
        <w:drawing>
          <wp:inline distT="0" distB="0" distL="114300" distR="114300">
            <wp:extent cx="3324225" cy="2659380"/>
            <wp:effectExtent l="0" t="0" r="13335" b="7620"/>
            <wp:docPr id="818996946" name="图片 818996946" descr="D:\svn\ASH\文档\X荧光智能矿浆灰分分析仪_软件界面\历史_近七日数据(曲线).png历史_近七日数据(曲线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6" name="图片 818996946" descr="D:\svn\ASH\文档\X荧光智能矿浆灰分分析仪_软件界面\历史_近七日数据(曲线).png历史_近七日数据(曲线)"/>
                    <pic:cNvPicPr>
                      <a:picLocks noChangeAspect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AD619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设备近七日数据曲线页</w:t>
      </w:r>
    </w:p>
    <w:p w14:paraId="5C7B69EA">
      <w:pPr>
        <w:spacing w:line="360" w:lineRule="auto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点击顶部按历史数据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796925" cy="153035"/>
            <wp:effectExtent l="0" t="0" r="10795" b="14605"/>
            <wp:docPr id="818996947" name="图片 818996947" descr="C:\Users\DELL\Pictures\Screenshots\屏幕截图 2025-03-21 154525.png屏幕截图 2025-03-21 154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7" name="图片 818996947" descr="C:\Users\DELL\Pictures\Screenshots\屏幕截图 2025-03-21 154525.png屏幕截图 2025-03-21 154525"/>
                    <pic:cNvPicPr>
                      <a:picLocks noChangeAspect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6925" cy="15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按钮，将显示历史数据页，在这个界面中，可以在输入框内修改时间范围和通道，然后点击查询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408305" cy="160020"/>
            <wp:effectExtent l="0" t="0" r="3175" b="7620"/>
            <wp:docPr id="818996948" name="图片 818996948" descr="C:\Users\DELL\Desktop\查询.png查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8" name="图片 818996948" descr="C:\Users\DELL\Desktop\查询.png查询"/>
                    <pic:cNvPicPr>
                      <a:picLocks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305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按钮，在表中就会显示对应的数据，如图所示。</w:t>
      </w:r>
    </w:p>
    <w:p w14:paraId="720FB06E">
      <w:pPr>
        <w:jc w:val="center"/>
      </w:pPr>
      <w:r>
        <w:rPr>
          <w:lang w:val="en-US" w:bidi="ar-SA"/>
        </w:rPr>
        <w:drawing>
          <wp:inline distT="0" distB="0" distL="114300" distR="114300">
            <wp:extent cx="3324225" cy="2659380"/>
            <wp:effectExtent l="0" t="0" r="13335" b="7620"/>
            <wp:docPr id="818996949" name="图片 818996949" descr="D:\svn\ASH\文档\X荧光智能矿浆灰分分析仪_软件界面\历史_历史数据(表格).png历史_历史数据(表格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49" name="图片 818996949" descr="D:\svn\ASH\文档\X荧光智能矿浆灰分分析仪_软件界面\历史_历史数据(表格).png历史_历史数据(表格)"/>
                    <pic:cNvPicPr>
                      <a:picLocks noChangeAspect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7304F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设备历史信息表格页</w:t>
      </w:r>
    </w:p>
    <w:p w14:paraId="34A4B394">
      <w:pPr>
        <w:spacing w:line="360" w:lineRule="auto"/>
        <w:ind w:firstLine="420"/>
        <w:jc w:val="both"/>
        <w:rPr>
          <w:sz w:val="28"/>
          <w:szCs w:val="28"/>
        </w:rPr>
      </w:pPr>
      <w:r>
        <w:rPr>
          <w:rFonts w:hint="eastAsia"/>
          <w:sz w:val="28"/>
          <w:szCs w:val="28"/>
          <w:lang w:val="en-US"/>
        </w:rPr>
        <w:t>点击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287655" cy="153035"/>
            <wp:effectExtent l="0" t="0" r="1905" b="14605"/>
            <wp:docPr id="818996950" name="图片 818996950" descr="C:\Users\DELL\Desktop\曲线.png曲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50" name="图片 818996950" descr="C:\Users\DELL\Desktop\曲线.png曲线"/>
                    <pic:cNvPicPr>
                      <a:picLocks noChangeAspect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" cy="15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按钮，显示历史曲线页。</w:t>
      </w:r>
      <w:r>
        <w:rPr>
          <w:rFonts w:hint="eastAsia"/>
          <w:sz w:val="28"/>
          <w:szCs w:val="28"/>
          <w:lang w:eastAsia="zh-Hans"/>
        </w:rPr>
        <w:t>在此页面中可以使用查询功能查找对应</w:t>
      </w:r>
      <w:r>
        <w:rPr>
          <w:rFonts w:hint="eastAsia"/>
          <w:sz w:val="28"/>
          <w:szCs w:val="28"/>
          <w:lang w:val="en-US"/>
        </w:rPr>
        <w:t>时间的元素品位数据</w:t>
      </w:r>
      <w:r>
        <w:rPr>
          <w:rFonts w:hint="eastAsia"/>
          <w:sz w:val="28"/>
          <w:szCs w:val="28"/>
          <w:lang w:eastAsia="zh-Hans"/>
        </w:rPr>
        <w:t>信息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val="en-US"/>
        </w:rPr>
        <w:t>只需要</w:t>
      </w:r>
      <w:r>
        <w:rPr>
          <w:rFonts w:hint="eastAsia"/>
          <w:sz w:val="28"/>
          <w:szCs w:val="28"/>
          <w:lang w:eastAsia="zh-Hans"/>
        </w:rPr>
        <w:t>在上方搜索框中可输入</w:t>
      </w:r>
      <w:r>
        <w:rPr>
          <w:rFonts w:hint="eastAsia"/>
          <w:sz w:val="28"/>
          <w:szCs w:val="28"/>
          <w:lang w:val="en-US"/>
        </w:rPr>
        <w:t>起始时间和通道</w:t>
      </w:r>
      <w:r>
        <w:rPr>
          <w:rFonts w:hint="eastAsia"/>
          <w:sz w:val="28"/>
          <w:szCs w:val="28"/>
          <w:lang w:eastAsia="zh-Hans"/>
        </w:rPr>
        <w:t>的部分</w:t>
      </w:r>
      <w:r>
        <w:rPr>
          <w:rFonts w:hint="eastAsia"/>
          <w:sz w:val="28"/>
          <w:szCs w:val="28"/>
          <w:lang w:val="en-US"/>
        </w:rPr>
        <w:t>信息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在下方即会根据输入的文字内容</w:t>
      </w:r>
      <w:r>
        <w:rPr>
          <w:rFonts w:hint="eastAsia"/>
          <w:sz w:val="28"/>
          <w:szCs w:val="28"/>
          <w:lang w:val="en-US"/>
        </w:rPr>
        <w:t>显示</w:t>
      </w:r>
      <w:r>
        <w:rPr>
          <w:rFonts w:hint="eastAsia"/>
          <w:sz w:val="28"/>
          <w:szCs w:val="28"/>
          <w:lang w:eastAsia="zh-Hans"/>
        </w:rPr>
        <w:t>出所对应的信息</w:t>
      </w:r>
      <w:r>
        <w:rPr>
          <w:rFonts w:hint="eastAsia"/>
          <w:sz w:val="28"/>
          <w:szCs w:val="28"/>
        </w:rPr>
        <w:t>，</w:t>
      </w:r>
      <w:r>
        <w:rPr>
          <w:rFonts w:hint="eastAsia"/>
          <w:sz w:val="28"/>
          <w:szCs w:val="28"/>
          <w:lang w:val="en-US"/>
        </w:rPr>
        <w:t>如图所示</w:t>
      </w:r>
      <w:r>
        <w:rPr>
          <w:rFonts w:hint="eastAsia"/>
          <w:sz w:val="28"/>
          <w:szCs w:val="28"/>
        </w:rPr>
        <w:t>。</w:t>
      </w:r>
    </w:p>
    <w:p w14:paraId="4F5D47F0">
      <w:pPr>
        <w:jc w:val="center"/>
      </w:pPr>
      <w:r>
        <w:rPr>
          <w:lang w:val="en-US" w:bidi="ar-SA"/>
        </w:rPr>
        <w:drawing>
          <wp:inline distT="0" distB="0" distL="114300" distR="114300">
            <wp:extent cx="3324225" cy="2659380"/>
            <wp:effectExtent l="0" t="0" r="13335" b="7620"/>
            <wp:docPr id="818996951" name="图片 818996951" descr="D:\svn\ASH\文档\X荧光智能矿浆灰分分析仪_软件界面\历史_历史数据(曲线).png历史_历史数据(曲线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51" name="图片 818996951" descr="D:\svn\ASH\文档\X荧光智能矿浆灰分分析仪_软件界面\历史_历史数据(曲线).png历史_历史数据(曲线)"/>
                    <pic:cNvPicPr>
                      <a:picLocks noChangeAspect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A86BE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设备历史信息曲线页</w:t>
      </w:r>
    </w:p>
    <w:p w14:paraId="22643D3F">
      <w:pPr>
        <w:spacing w:line="360" w:lineRule="auto"/>
        <w:ind w:firstLine="420"/>
        <w:jc w:val="both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val="en-US"/>
        </w:rPr>
        <w:t>在这个页面中，可以点击查询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408305" cy="160020"/>
            <wp:effectExtent l="0" t="0" r="3175" b="7620"/>
            <wp:docPr id="818996952" name="图片 818996952" descr="C:\Users\DELL\Desktop\查询.png查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52" name="图片 818996952" descr="C:\Users\DELL\Desktop\查询.png查询"/>
                    <pic:cNvPicPr>
                      <a:picLocks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305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/>
        </w:rPr>
        <w:t>按钮显示选定时间范围内的元素品位数据曲线。通过这个曲线，可以直观地看到元素品位的变化趋势。以便进行决策分析。</w:t>
      </w:r>
    </w:p>
    <w:p w14:paraId="70DFF197">
      <w:pPr>
        <w:autoSpaceDE/>
        <w:autoSpaceDN/>
        <w:jc w:val="both"/>
        <w:outlineLvl w:val="2"/>
        <w:rPr>
          <w:rFonts w:cstheme="majorEastAsia"/>
          <w:b/>
          <w:kern w:val="2"/>
          <w:sz w:val="28"/>
          <w:szCs w:val="28"/>
          <w:lang w:val="en-US" w:bidi="ar-SA"/>
        </w:rPr>
      </w:pPr>
      <w:bookmarkStart w:id="16" w:name="_Toc22292"/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 xml:space="preserve">3.6.7 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>设备报警页</w:t>
      </w:r>
      <w:bookmarkEnd w:id="16"/>
    </w:p>
    <w:p w14:paraId="7AD5291D">
      <w:pPr>
        <w:spacing w:line="360" w:lineRule="auto"/>
        <w:rPr>
          <w:rFonts w:cs="Times New Roman"/>
          <w:sz w:val="28"/>
          <w:szCs w:val="28"/>
        </w:rPr>
      </w:pPr>
      <w:r>
        <w:rPr>
          <w:rFonts w:hint="eastAsia" w:cs="Times New Roman"/>
          <w:sz w:val="28"/>
          <w:szCs w:val="28"/>
          <w:lang w:eastAsia="zh-Hans"/>
        </w:rPr>
        <w:t>点击</w:t>
      </w:r>
      <w:r>
        <w:rPr>
          <w:rFonts w:hint="eastAsia"/>
          <w:sz w:val="28"/>
          <w:szCs w:val="28"/>
        </w:rPr>
        <w:t>侧边菜单栏</w:t>
      </w:r>
      <w:r>
        <w:rPr>
          <w:rFonts w:hint="eastAsia" w:cs="Times New Roman"/>
          <w:sz w:val="28"/>
          <w:szCs w:val="28"/>
        </w:rPr>
        <w:t>报警</w:t>
      </w:r>
      <w:r>
        <w:rPr>
          <w:rFonts w:hint="eastAsia"/>
          <w:sz w:val="28"/>
          <w:szCs w:val="28"/>
          <w:lang w:val="en-US" w:bidi="ar-SA"/>
        </w:rPr>
        <w:drawing>
          <wp:inline distT="0" distB="0" distL="114300" distR="114300">
            <wp:extent cx="361315" cy="361315"/>
            <wp:effectExtent l="0" t="0" r="4445" b="4445"/>
            <wp:docPr id="818996953" name="图片 818996953" descr="D:\svn\XRF\Source\Src\Res\Image\MainWindow\Alarm01.pngAlarm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53" name="图片 818996953" descr="D:\svn\XRF\Source\Src\Res\Image\MainWindow\Alarm01.pngAlarm01"/>
                    <pic:cNvPicPr>
                      <a:picLocks noChangeAspect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Times New Roman"/>
          <w:sz w:val="28"/>
          <w:szCs w:val="28"/>
        </w:rPr>
        <w:t>按钮后</w:t>
      </w:r>
      <w:r>
        <w:rPr>
          <w:rFonts w:cs="Times New Roman"/>
          <w:sz w:val="28"/>
          <w:szCs w:val="28"/>
          <w:lang w:eastAsia="zh-Hans"/>
        </w:rPr>
        <w:t>，</w:t>
      </w:r>
      <w:r>
        <w:rPr>
          <w:rFonts w:hint="eastAsia" w:cs="Times New Roman"/>
          <w:sz w:val="28"/>
          <w:szCs w:val="28"/>
        </w:rPr>
        <w:t>显示报警信息表如图所示。</w:t>
      </w:r>
    </w:p>
    <w:p w14:paraId="1FE7E68E">
      <w:pPr>
        <w:jc w:val="center"/>
      </w:pPr>
      <w:r>
        <w:rPr>
          <w:lang w:val="en-US" w:bidi="ar-SA"/>
        </w:rPr>
        <w:drawing>
          <wp:inline distT="0" distB="0" distL="114300" distR="114300">
            <wp:extent cx="3322955" cy="2658745"/>
            <wp:effectExtent l="0" t="0" r="14605" b="8255"/>
            <wp:docPr id="818996954" name="图片 818996954" descr="D:\svn\ASH\文档\X荧光智能矿浆灰分分析仪_软件界面\报警_实时.png报警_实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54" name="图片 818996954" descr="D:\svn\ASH\文档\X荧光智能矿浆灰分分析仪_软件界面\报警_实时.png报警_实时"/>
                    <pic:cNvPicPr>
                      <a:picLocks noChangeAspect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2955" cy="265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3FCD9">
      <w:pPr>
        <w:jc w:val="center"/>
      </w:pPr>
      <w:r>
        <w:rPr>
          <w:lang w:val="en-US" w:bidi="ar-SA"/>
        </w:rPr>
        <w:drawing>
          <wp:inline distT="0" distB="0" distL="0" distR="0">
            <wp:extent cx="3342640" cy="2674620"/>
            <wp:effectExtent l="0" t="0" r="10160" b="7620"/>
            <wp:docPr id="473411944" name="图片 1" descr="D:\svn\ASH\文档\X荧光智能矿浆灰分分析仪_软件界面\报警_历史.png报警_历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11944" name="图片 1" descr="D:\svn\ASH\文档\X荧光智能矿浆灰分分析仪_软件界面\报警_历史.png报警_历史"/>
                    <pic:cNvPicPr>
                      <a:picLocks noChangeAspect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268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2AA14">
      <w:pPr>
        <w:autoSpaceDE/>
        <w:autoSpaceDN/>
        <w:spacing w:line="480" w:lineRule="auto"/>
        <w:ind w:firstLine="422" w:firstLineChars="200"/>
        <w:jc w:val="center"/>
        <w:rPr>
          <w:b/>
          <w:sz w:val="21"/>
        </w:rPr>
      </w:pPr>
      <w:r>
        <w:rPr>
          <w:rFonts w:hint="eastAsia"/>
          <w:b/>
          <w:sz w:val="21"/>
        </w:rPr>
        <w:t>设备报警信息页</w:t>
      </w:r>
    </w:p>
    <w:p w14:paraId="2B65C99B">
      <w:pPr>
        <w:spacing w:line="360" w:lineRule="auto"/>
        <w:ind w:firstLine="560" w:firstLineChars="200"/>
        <w:rPr>
          <w:rFonts w:cs="Times New Roman"/>
          <w:sz w:val="28"/>
          <w:szCs w:val="28"/>
        </w:rPr>
      </w:pPr>
      <w:r>
        <w:rPr>
          <w:rFonts w:hint="eastAsia" w:cs="Times New Roman"/>
          <w:sz w:val="28"/>
          <w:szCs w:val="28"/>
        </w:rPr>
        <w:t>上图为实时报警（即当前存在的报警），下图为历史报警。在表格中，从左到右分别为序号、类型编号、报警信息、报警时间、报警类型、报警等级。其中最新的报警信息显示在顶层，底部状态栏显示过报警信息也会汇总到这里，通过这两个表格，可以直观地看到设备的报警信息，以便进行处理和管理。</w:t>
      </w:r>
    </w:p>
    <w:p w14:paraId="259530C7">
      <w:pPr>
        <w:autoSpaceDE/>
        <w:autoSpaceDN/>
        <w:jc w:val="both"/>
        <w:outlineLvl w:val="2"/>
        <w:rPr>
          <w:rFonts w:cstheme="majorEastAsia"/>
          <w:b/>
          <w:kern w:val="2"/>
          <w:sz w:val="28"/>
          <w:szCs w:val="28"/>
          <w:lang w:val="en-US" w:bidi="ar-SA"/>
        </w:rPr>
      </w:pPr>
      <w:bookmarkStart w:id="17" w:name="_Toc16845"/>
      <w:r>
        <w:rPr>
          <w:rFonts w:hint="eastAsia" w:cstheme="majorEastAsia"/>
          <w:b/>
          <w:kern w:val="2"/>
          <w:sz w:val="28"/>
          <w:szCs w:val="28"/>
          <w:lang w:val="en-US" w:eastAsia="zh-CN" w:bidi="ar-SA"/>
        </w:rPr>
        <w:t xml:space="preserve">3.6.8 </w:t>
      </w:r>
      <w:r>
        <w:rPr>
          <w:rFonts w:hint="eastAsia" w:cstheme="majorEastAsia"/>
          <w:b/>
          <w:kern w:val="2"/>
          <w:sz w:val="28"/>
          <w:szCs w:val="28"/>
          <w:lang w:val="en-US" w:bidi="ar-SA"/>
        </w:rPr>
        <w:t>软件程序关闭</w:t>
      </w:r>
      <w:bookmarkEnd w:id="17"/>
    </w:p>
    <w:p w14:paraId="2F4675D4">
      <w:pPr>
        <w:spacing w:line="360" w:lineRule="auto"/>
        <w:ind w:firstLine="560" w:firstLineChars="200"/>
        <w:rPr>
          <w:rFonts w:cs="Times New Roman"/>
          <w:sz w:val="28"/>
          <w:szCs w:val="28"/>
        </w:rPr>
      </w:pPr>
      <w:r>
        <w:rPr>
          <w:rFonts w:hint="eastAsia" w:cs="Times New Roman"/>
          <w:sz w:val="28"/>
          <w:szCs w:val="28"/>
        </w:rPr>
        <w:t>在左侧菜单栏点击退出</w:t>
      </w:r>
      <w:r>
        <w:rPr>
          <w:rFonts w:hint="eastAsia" w:cs="Times New Roman"/>
          <w:sz w:val="28"/>
          <w:szCs w:val="28"/>
          <w:lang w:val="en-US" w:bidi="ar-SA"/>
        </w:rPr>
        <w:drawing>
          <wp:inline distT="0" distB="0" distL="114300" distR="114300">
            <wp:extent cx="361315" cy="361315"/>
            <wp:effectExtent l="0" t="0" r="4445" b="4445"/>
            <wp:docPr id="818996955" name="图片 818996955" descr="D:\svn\XRF\Source\Src\Res\Image\MainWindow\Close01.pngClose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55" name="图片 818996955" descr="D:\svn\XRF\Source\Src\Res\Image\MainWindow\Close01.pngClose01"/>
                    <pic:cNvPicPr>
                      <a:picLocks noChangeAspect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Times New Roman"/>
          <w:sz w:val="28"/>
          <w:szCs w:val="28"/>
        </w:rPr>
        <w:t>按钮并在弹窗中确认，关闭程序。</w:t>
      </w:r>
    </w:p>
    <w:p w14:paraId="3B35FBAD">
      <w:pPr>
        <w:pStyle w:val="25"/>
        <w:ind w:firstLine="480"/>
        <w:rPr>
          <w:rFonts w:cs="Times New Roman"/>
          <w:szCs w:val="28"/>
          <w:lang w:val="en-US"/>
        </w:rPr>
      </w:pPr>
    </w:p>
    <w:p w14:paraId="53F2E55C">
      <w:pPr>
        <w:pStyle w:val="25"/>
        <w:ind w:firstLine="480"/>
        <w:jc w:val="center"/>
        <w:rPr>
          <w:rFonts w:cs="Times New Roman"/>
          <w:szCs w:val="28"/>
          <w:lang w:val="en-US"/>
        </w:rPr>
      </w:pPr>
      <w:r>
        <w:rPr>
          <w:lang w:val="en-US" w:bidi="ar-SA"/>
        </w:rPr>
        <w:drawing>
          <wp:inline distT="0" distB="0" distL="114300" distR="114300">
            <wp:extent cx="1714500" cy="1200150"/>
            <wp:effectExtent l="0" t="0" r="7620" b="3810"/>
            <wp:docPr id="818996956" name="图片 818996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96956" name="图片 81899695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A7D1">
      <w:pPr>
        <w:pStyle w:val="25"/>
        <w:ind w:firstLine="480"/>
        <w:rPr>
          <w:rFonts w:cs="Times New Roman"/>
          <w:szCs w:val="28"/>
        </w:rPr>
      </w:pPr>
    </w:p>
    <w:p w14:paraId="4C90526B">
      <w:pPr>
        <w:spacing w:line="360" w:lineRule="auto"/>
        <w:jc w:val="both"/>
        <w:rPr>
          <w:rFonts w:hint="eastAsia" w:cs="Times New Roman"/>
          <w:sz w:val="28"/>
          <w:szCs w:val="28"/>
          <w:lang w:val="en-US"/>
        </w:rPr>
      </w:pPr>
      <w:r>
        <w:rPr>
          <w:rFonts w:hint="eastAsia" w:cs="Times New Roman"/>
          <w:b/>
          <w:color w:val="FF0000"/>
          <w:sz w:val="28"/>
          <w:szCs w:val="28"/>
          <w:lang w:val="en-US"/>
        </w:rPr>
        <w:t>注意：</w:t>
      </w:r>
      <w:r>
        <w:rPr>
          <w:rFonts w:hint="eastAsia" w:cs="Times New Roman"/>
          <w:sz w:val="28"/>
          <w:szCs w:val="28"/>
          <w:lang w:val="en-US"/>
        </w:rPr>
        <w:t>软件仅在系统阶段处于空闲或停机状态下方可关闭程序。</w:t>
      </w:r>
    </w:p>
    <w:bookmarkEnd w:id="10"/>
    <w:bookmarkEnd w:id="11"/>
    <w:bookmarkEnd w:id="12"/>
    <w:p w14:paraId="7B87FF26">
      <w:pPr>
        <w:rPr>
          <w:b/>
          <w:sz w:val="21"/>
        </w:rPr>
      </w:pPr>
    </w:p>
    <w:p w14:paraId="42D1A70B">
      <w:pPr>
        <w:jc w:val="center"/>
      </w:pPr>
      <w:r>
        <w:rPr>
          <w:lang w:val="en-US" w:bidi="ar-SA"/>
        </w:rPr>
        <w:drawing>
          <wp:inline distT="0" distB="0" distL="0" distR="0">
            <wp:extent cx="2613660" cy="2095500"/>
            <wp:effectExtent l="0" t="0" r="7620" b="7620"/>
            <wp:docPr id="22" name="图片 1" descr="D:\svn\ASH\文档\X荧光智能矿浆灰分分析仪_软件界面\报警_历史.png报警_历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 descr="D:\svn\ASH\文档\X荧光智能矿浆灰分分析仪_软件界面\报警_历史.png报警_历史"/>
                    <pic:cNvPicPr>
                      <a:picLocks noChangeAspect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3600" cy="209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387FA">
      <w:pPr>
        <w:autoSpaceDE/>
        <w:autoSpaceDN/>
        <w:spacing w:line="360" w:lineRule="auto"/>
        <w:jc w:val="both"/>
        <w:rPr>
          <w:sz w:val="28"/>
          <w:szCs w:val="28"/>
        </w:rPr>
      </w:pPr>
      <w:r>
        <w:rPr>
          <w:rFonts w:ascii="Calibri" w:hAnsi="Calibri" w:cs="Times New Roman"/>
          <w:kern w:val="2"/>
          <w:sz w:val="24"/>
          <w:szCs w:val="24"/>
          <w:lang w:val="en-US" w:bidi="ar-SA"/>
        </w:rPr>
        <w:br w:type="page"/>
      </w:r>
    </w:p>
    <w:p w14:paraId="3ED57655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</w:pPr>
      <w:bookmarkStart w:id="18" w:name="_Toc13461"/>
      <w:bookmarkStart w:id="19" w:name="_Toc1501"/>
      <w:bookmarkStart w:id="20" w:name="_Toc11437"/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>3.7 控制系统操作</w:t>
      </w:r>
    </w:p>
    <w:p w14:paraId="5604F218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hint="default" w:ascii="Calibri" w:hAnsi="Calibri" w:cs="Times New Roman"/>
          <w:b/>
          <w:kern w:val="2"/>
          <w:sz w:val="30"/>
          <w:szCs w:val="30"/>
          <w:lang w:val="en-US" w:eastAsia="zh-CN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>3.7.1 控制系统</w:t>
      </w:r>
    </w:p>
    <w:p w14:paraId="4191AE39">
      <w:pPr>
        <w:pStyle w:val="14"/>
        <w:ind w:firstLine="56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本设备分为灰分分析仪控制系统和进浆系统两部分，独立配备CPU，可单独运行。</w:t>
      </w:r>
    </w:p>
    <w:p w14:paraId="3DD2506E">
      <w:pPr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3950335" cy="2958465"/>
            <wp:effectExtent l="0" t="0" r="12065" b="13335"/>
            <wp:docPr id="30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 preferRelativeResize="0"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754" cy="296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2CFCD">
      <w:pPr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控制系统手动操作画面</w:t>
      </w:r>
    </w:p>
    <w:p w14:paraId="03CB1B2F">
      <w:pPr>
        <w:numPr>
          <w:ilvl w:val="0"/>
          <w:numId w:val="8"/>
        </w:numPr>
        <w:autoSpaceDE/>
        <w:autoSpaceDN/>
        <w:spacing w:line="360" w:lineRule="auto"/>
        <w:ind w:left="540" w:hanging="540" w:hangingChars="193"/>
        <w:jc w:val="both"/>
        <w:rPr>
          <w:sz w:val="28"/>
          <w:szCs w:val="28"/>
        </w:rPr>
      </w:pPr>
      <w:r>
        <w:rPr>
          <w:rFonts w:hint="eastAsia"/>
          <w:sz w:val="28"/>
          <w:szCs w:val="28"/>
        </w:rPr>
        <w:t>点击手动操作画面</w:t>
      </w:r>
      <w:r>
        <w:rPr>
          <w:rFonts w:hint="eastAsia"/>
          <w:b/>
          <w:sz w:val="28"/>
          <w:szCs w:val="28"/>
        </w:rPr>
        <w:t>“全自动”</w:t>
      </w:r>
      <w:r>
        <w:rPr>
          <w:rFonts w:hint="eastAsia"/>
          <w:sz w:val="28"/>
          <w:szCs w:val="28"/>
        </w:rPr>
        <w:t>按钮，控制系统进入全自动控制模式，进程由灰分分析仪分析软件控制。</w:t>
      </w:r>
    </w:p>
    <w:p w14:paraId="432AB35A">
      <w:pPr>
        <w:numPr>
          <w:ilvl w:val="0"/>
          <w:numId w:val="8"/>
        </w:numPr>
        <w:autoSpaceDE/>
        <w:autoSpaceDN/>
        <w:spacing w:line="360" w:lineRule="auto"/>
        <w:ind w:left="540" w:hanging="540" w:hangingChars="193"/>
        <w:jc w:val="both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“半自动”</w:t>
      </w:r>
      <w:r>
        <w:rPr>
          <w:rFonts w:hint="eastAsia"/>
          <w:sz w:val="28"/>
          <w:szCs w:val="28"/>
        </w:rPr>
        <w:t>按钮，系统可按制样流程、上料流程、下料流程分部分完成全自动下的流程。</w:t>
      </w:r>
    </w:p>
    <w:p w14:paraId="0D9EC7AE">
      <w:pPr>
        <w:autoSpaceDE/>
        <w:autoSpaceDN/>
        <w:ind w:left="425"/>
        <w:jc w:val="both"/>
        <w:rPr>
          <w:sz w:val="24"/>
        </w:rPr>
      </w:pPr>
    </w:p>
    <w:p w14:paraId="31507BB4">
      <w:pPr>
        <w:autoSpaceDE/>
        <w:autoSpaceDN/>
        <w:jc w:val="center"/>
        <w:rPr>
          <w:sz w:val="24"/>
        </w:rPr>
      </w:pPr>
      <w:r>
        <w:rPr>
          <w:sz w:val="24"/>
          <w:lang w:val="en-US" w:bidi="ar-SA"/>
        </w:rPr>
        <w:drawing>
          <wp:inline distT="0" distB="0" distL="0" distR="0">
            <wp:extent cx="3933190" cy="2691130"/>
            <wp:effectExtent l="0" t="0" r="13970" b="6350"/>
            <wp:docPr id="31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"/>
                    <pic:cNvPicPr preferRelativeResize="0"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" t="-817" r="37836" b="37790"/>
                    <a:stretch>
                      <a:fillRect/>
                    </a:stretch>
                  </pic:blipFill>
                  <pic:spPr>
                    <a:xfrm>
                      <a:off x="0" y="0"/>
                      <a:ext cx="3939637" cy="269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AC53A">
      <w:pPr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通道1手动画面</w:t>
      </w:r>
    </w:p>
    <w:p w14:paraId="24234129">
      <w:pPr>
        <w:autoSpaceDE/>
        <w:autoSpaceDN/>
        <w:jc w:val="both"/>
        <w:rPr>
          <w:sz w:val="24"/>
        </w:rPr>
      </w:pPr>
    </w:p>
    <w:p w14:paraId="11AB9F22">
      <w:pPr>
        <w:numPr>
          <w:ilvl w:val="0"/>
          <w:numId w:val="8"/>
        </w:numPr>
        <w:autoSpaceDE/>
        <w:autoSpaceDN/>
        <w:spacing w:line="360" w:lineRule="auto"/>
        <w:ind w:left="540" w:hanging="540" w:hangingChars="193"/>
        <w:jc w:val="both"/>
        <w:rPr>
          <w:sz w:val="28"/>
          <w:szCs w:val="28"/>
        </w:rPr>
      </w:pPr>
      <w:r>
        <w:rPr>
          <w:rFonts w:hint="eastAsia"/>
          <w:sz w:val="28"/>
          <w:szCs w:val="28"/>
        </w:rPr>
        <w:t>在手动操作画面</w:t>
      </w:r>
      <w:r>
        <w:rPr>
          <w:rFonts w:hint="eastAsia"/>
          <w:b/>
          <w:sz w:val="28"/>
          <w:szCs w:val="28"/>
        </w:rPr>
        <w:t>“手动控制”</w:t>
      </w:r>
      <w:r>
        <w:rPr>
          <w:rFonts w:hint="eastAsia"/>
          <w:sz w:val="28"/>
          <w:szCs w:val="28"/>
        </w:rPr>
        <w:t>栏下，“通道1手动画面”内可手动控制通道1的夹爪、滤板、拨杆、挡矿、治具、除尘罩、吹气、入矿阀、加热、冲水等动作。</w:t>
      </w:r>
    </w:p>
    <w:p w14:paraId="653E6956">
      <w:pPr>
        <w:numPr>
          <w:ilvl w:val="0"/>
          <w:numId w:val="8"/>
        </w:numPr>
        <w:tabs>
          <w:tab w:val="left" w:pos="312"/>
        </w:tabs>
        <w:autoSpaceDE/>
        <w:autoSpaceDN/>
        <w:spacing w:line="360" w:lineRule="auto"/>
        <w:ind w:left="540" w:hanging="540" w:hangingChars="193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“搅拌移动伺服页面”</w:t>
      </w:r>
      <w:r>
        <w:rPr>
          <w:rFonts w:hint="eastAsia"/>
          <w:sz w:val="28"/>
          <w:szCs w:val="28"/>
        </w:rPr>
        <w:t>进入搅拌移动伺服手动控制页面，根据对应按钮操作机构运动。</w:t>
      </w:r>
    </w:p>
    <w:p w14:paraId="39E16454">
      <w:pPr>
        <w:tabs>
          <w:tab w:val="left" w:pos="312"/>
        </w:tabs>
        <w:autoSpaceDE/>
        <w:autoSpaceDN/>
        <w:ind w:left="425"/>
        <w:rPr>
          <w:sz w:val="24"/>
        </w:rPr>
      </w:pPr>
    </w:p>
    <w:p w14:paraId="54BAC0A8">
      <w:pPr>
        <w:tabs>
          <w:tab w:val="left" w:pos="312"/>
        </w:tabs>
        <w:jc w:val="center"/>
        <w:rPr>
          <w:sz w:val="24"/>
        </w:rPr>
      </w:pPr>
      <w:r>
        <w:rPr>
          <w:sz w:val="24"/>
          <w:lang w:val="en-US" w:bidi="ar-SA"/>
        </w:rPr>
        <w:drawing>
          <wp:inline distT="0" distB="0" distL="0" distR="0">
            <wp:extent cx="4062730" cy="3148330"/>
            <wp:effectExtent l="0" t="0" r="6350" b="6350"/>
            <wp:docPr id="5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 preferRelativeResize="0"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571" b="32920"/>
                    <a:stretch>
                      <a:fillRect/>
                    </a:stretch>
                  </pic:blipFill>
                  <pic:spPr>
                    <a:xfrm>
                      <a:off x="0" y="0"/>
                      <a:ext cx="4065980" cy="315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5E0D2">
      <w:pPr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搅拌移动伺服页面</w:t>
      </w:r>
    </w:p>
    <w:p w14:paraId="32E90AE1">
      <w:pPr>
        <w:spacing w:line="360" w:lineRule="auto"/>
        <w:ind w:left="400"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本页面可通过“伺服上、下使能”手动控制伺服的使能；</w:t>
      </w:r>
    </w:p>
    <w:p w14:paraId="74D798C0">
      <w:pPr>
        <w:spacing w:line="360" w:lineRule="auto"/>
        <w:ind w:left="400" w:firstLine="562" w:firstLineChars="200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“点动模式”</w:t>
      </w:r>
      <w:r>
        <w:rPr>
          <w:rFonts w:hint="eastAsia"/>
          <w:sz w:val="28"/>
          <w:szCs w:val="28"/>
        </w:rPr>
        <w:t>下的“正向点动”、“反向点动”按住则搅拌机构向前或后移动。</w:t>
      </w:r>
    </w:p>
    <w:p w14:paraId="15FE7D0F">
      <w:pPr>
        <w:spacing w:line="360" w:lineRule="auto"/>
        <w:ind w:left="400" w:firstLine="562" w:firstLineChars="200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“定位模式”</w:t>
      </w:r>
      <w:r>
        <w:rPr>
          <w:rFonts w:hint="eastAsia"/>
          <w:sz w:val="28"/>
          <w:szCs w:val="28"/>
        </w:rPr>
        <w:t>下，点击“位置输入选择”后，在“位置输入”栏里输入搅拌机构想要到达的位置，在“速度输入”栏里输入搅拌机构的运动速度值，然后点击“执行定位”搅拌机构将按照设定值运行到对应位置。</w:t>
      </w:r>
    </w:p>
    <w:p w14:paraId="79A5952B">
      <w:pPr>
        <w:spacing w:line="360" w:lineRule="auto"/>
        <w:ind w:left="400" w:firstLine="562" w:firstLineChars="200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“实际执行位置”</w:t>
      </w:r>
      <w:r>
        <w:rPr>
          <w:rFonts w:hint="eastAsia"/>
          <w:sz w:val="28"/>
          <w:szCs w:val="28"/>
        </w:rPr>
        <w:t>栏显示搅拌机构运行的当前位置。</w:t>
      </w:r>
    </w:p>
    <w:p w14:paraId="30D5D039">
      <w:pPr>
        <w:spacing w:line="360" w:lineRule="auto"/>
        <w:ind w:left="400" w:firstLine="562" w:firstLineChars="200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“位置记录”</w:t>
      </w:r>
      <w:r>
        <w:rPr>
          <w:rFonts w:hint="eastAsia"/>
          <w:sz w:val="28"/>
          <w:szCs w:val="28"/>
        </w:rPr>
        <w:t>按钮按下可将当前伺服位置记录在“位置号输入”的位置号内。</w:t>
      </w:r>
    </w:p>
    <w:p w14:paraId="68A3A76D">
      <w:pPr>
        <w:spacing w:line="360" w:lineRule="auto"/>
        <w:ind w:left="400" w:firstLine="562" w:firstLineChars="200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“位置按钮选择”</w:t>
      </w:r>
      <w:r>
        <w:rPr>
          <w:rFonts w:hint="eastAsia"/>
          <w:sz w:val="28"/>
          <w:szCs w:val="28"/>
        </w:rPr>
        <w:t>点击后激活“位置1--5输入”功能，例如“原位”栏内输入500，点击“位置1输入”后，伺服原位的值写入伺服，即搅拌移动机构原点设置完成。</w:t>
      </w:r>
    </w:p>
    <w:p w14:paraId="3DDE05A0">
      <w:pPr>
        <w:numPr>
          <w:ilvl w:val="0"/>
          <w:numId w:val="8"/>
        </w:numPr>
        <w:tabs>
          <w:tab w:val="left" w:pos="312"/>
        </w:tabs>
        <w:autoSpaceDE/>
        <w:autoSpaceDN/>
        <w:spacing w:line="360" w:lineRule="auto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“搅拌伺服”</w:t>
      </w:r>
      <w:r>
        <w:rPr>
          <w:rFonts w:hint="eastAsia"/>
          <w:sz w:val="28"/>
          <w:szCs w:val="28"/>
        </w:rPr>
        <w:t>进入搅拌伺服手动控制页面。</w:t>
      </w:r>
    </w:p>
    <w:p w14:paraId="1F58CE9D">
      <w:pPr>
        <w:tabs>
          <w:tab w:val="left" w:pos="312"/>
        </w:tabs>
        <w:autoSpaceDE/>
        <w:autoSpaceDN/>
        <w:spacing w:line="360" w:lineRule="auto"/>
        <w:ind w:left="905"/>
        <w:rPr>
          <w:sz w:val="24"/>
        </w:rPr>
      </w:pPr>
    </w:p>
    <w:p w14:paraId="6CE80503">
      <w:pPr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3769360" cy="2717165"/>
            <wp:effectExtent l="0" t="0" r="10160" b="10795"/>
            <wp:docPr id="32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 preferRelativeResize="0"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2468" cy="271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1DEAB">
      <w:pPr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搅拌旋转伺服</w:t>
      </w:r>
    </w:p>
    <w:p w14:paraId="5EA55976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此页面显示伺服是否有报警；是否有使能；伺服状态；</w:t>
      </w:r>
    </w:p>
    <w:p w14:paraId="664F9EBA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可在</w:t>
      </w:r>
      <w:r>
        <w:rPr>
          <w:rFonts w:hint="eastAsia"/>
          <w:b/>
          <w:sz w:val="28"/>
          <w:szCs w:val="28"/>
        </w:rPr>
        <w:t>“速度输入”</w:t>
      </w:r>
      <w:r>
        <w:rPr>
          <w:rFonts w:hint="eastAsia"/>
          <w:sz w:val="28"/>
          <w:szCs w:val="28"/>
        </w:rPr>
        <w:t>栏输入搅拌伺服电机旋转速度；</w:t>
      </w:r>
    </w:p>
    <w:p w14:paraId="0AFE2402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可通过</w:t>
      </w:r>
      <w:r>
        <w:rPr>
          <w:rFonts w:hint="eastAsia"/>
          <w:b/>
          <w:sz w:val="28"/>
          <w:szCs w:val="28"/>
        </w:rPr>
        <w:t>“伺服上、下使能”</w:t>
      </w:r>
      <w:r>
        <w:rPr>
          <w:rFonts w:hint="eastAsia"/>
          <w:sz w:val="28"/>
          <w:szCs w:val="28"/>
        </w:rPr>
        <w:t>手动控制伺服的使能；</w:t>
      </w:r>
    </w:p>
    <w:p w14:paraId="217B8647">
      <w:pPr>
        <w:numPr>
          <w:ilvl w:val="0"/>
          <w:numId w:val="8"/>
        </w:numPr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“自动控制”</w:t>
      </w:r>
      <w:r>
        <w:rPr>
          <w:rFonts w:hint="eastAsia"/>
          <w:sz w:val="28"/>
          <w:szCs w:val="28"/>
        </w:rPr>
        <w:t>栏下</w:t>
      </w:r>
      <w:r>
        <w:rPr>
          <w:rFonts w:hint="eastAsia"/>
          <w:b/>
          <w:sz w:val="28"/>
          <w:szCs w:val="28"/>
        </w:rPr>
        <w:t>“制样开始”</w:t>
      </w:r>
      <w:r>
        <w:rPr>
          <w:rFonts w:hint="eastAsia"/>
          <w:sz w:val="28"/>
          <w:szCs w:val="28"/>
        </w:rPr>
        <w:t>功能，是在系统</w:t>
      </w:r>
      <w:r>
        <w:rPr>
          <w:rFonts w:hint="eastAsia"/>
          <w:b/>
          <w:sz w:val="28"/>
          <w:szCs w:val="28"/>
        </w:rPr>
        <w:t>“全自动”</w:t>
      </w:r>
      <w:r>
        <w:rPr>
          <w:rFonts w:hint="eastAsia"/>
          <w:sz w:val="28"/>
          <w:szCs w:val="28"/>
        </w:rPr>
        <w:t>模式时，全流程重头开始，即制样、上料、下料流程。</w:t>
      </w:r>
    </w:p>
    <w:p w14:paraId="349F21C8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在系统</w:t>
      </w:r>
      <w:r>
        <w:rPr>
          <w:rFonts w:hint="eastAsia"/>
          <w:b/>
          <w:sz w:val="28"/>
          <w:szCs w:val="28"/>
        </w:rPr>
        <w:t>“半自动”</w:t>
      </w:r>
      <w:r>
        <w:rPr>
          <w:rFonts w:hint="eastAsia"/>
          <w:sz w:val="28"/>
          <w:szCs w:val="28"/>
        </w:rPr>
        <w:t>模式时，可依需要完成部分步骤工作，如仅完成制样流程或检测流程。</w:t>
      </w:r>
    </w:p>
    <w:p w14:paraId="356002C9"/>
    <w:p w14:paraId="7DD115A9">
      <w:pPr>
        <w:jc w:val="center"/>
        <w:rPr>
          <w:sz w:val="24"/>
        </w:rPr>
      </w:pPr>
      <w:r>
        <w:rPr>
          <w:sz w:val="28"/>
          <w:szCs w:val="28"/>
          <w:lang w:val="en-US" w:bidi="ar-SA"/>
        </w:rPr>
        <w:drawing>
          <wp:inline distT="0" distB="0" distL="0" distR="0">
            <wp:extent cx="2552065" cy="3088005"/>
            <wp:effectExtent l="0" t="0" r="8255" b="5715"/>
            <wp:docPr id="46808137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78" name="图片 6"/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065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9735E">
      <w:pPr>
        <w:rPr>
          <w:sz w:val="24"/>
        </w:rPr>
      </w:pPr>
    </w:p>
    <w:p w14:paraId="1E13261C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“制样暂停”</w:t>
      </w:r>
      <w:r>
        <w:rPr>
          <w:rFonts w:hint="eastAsia"/>
          <w:sz w:val="28"/>
          <w:szCs w:val="28"/>
        </w:rPr>
        <w:t>则流程暂停，遇非风险突发情况时使用，待确认无误后点击“制样继续”则流程继续运行。</w:t>
      </w:r>
    </w:p>
    <w:p w14:paraId="3A57E9A1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“制样停止”</w:t>
      </w:r>
      <w:r>
        <w:rPr>
          <w:rFonts w:hint="eastAsia"/>
          <w:sz w:val="28"/>
          <w:szCs w:val="28"/>
        </w:rPr>
        <w:t>则流程终止，本次流程不再进行，待一切准备就绪后流程重头开始。</w:t>
      </w:r>
    </w:p>
    <w:p w14:paraId="2D60C74F">
      <w:pPr>
        <w:numPr>
          <w:ilvl w:val="0"/>
          <w:numId w:val="8"/>
        </w:numPr>
        <w:autoSpaceDE/>
        <w:autoSpaceDN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“上料页面”</w:t>
      </w:r>
      <w:r>
        <w:rPr>
          <w:rFonts w:hint="eastAsia"/>
          <w:sz w:val="28"/>
          <w:szCs w:val="28"/>
        </w:rPr>
        <w:t>则进入上料控制页面。</w:t>
      </w:r>
    </w:p>
    <w:p w14:paraId="0102D230">
      <w:pPr>
        <w:autoSpaceDE/>
        <w:autoSpaceDN/>
        <w:ind w:left="425"/>
        <w:rPr>
          <w:sz w:val="24"/>
        </w:rPr>
      </w:pPr>
    </w:p>
    <w:p w14:paraId="57A8447E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097020" cy="2932430"/>
            <wp:effectExtent l="0" t="0" r="2540" b="8890"/>
            <wp:docPr id="35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 preferRelativeResize="0"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509" cy="293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A96E1">
      <w:pPr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上料页面</w:t>
      </w:r>
    </w:p>
    <w:p w14:paraId="37DB1A7B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“通道1上料”</w:t>
      </w:r>
      <w:r>
        <w:rPr>
          <w:rFonts w:hint="eastAsia"/>
          <w:sz w:val="28"/>
          <w:szCs w:val="28"/>
        </w:rPr>
        <w:t>则为选择通道1进行上料流程；</w:t>
      </w:r>
    </w:p>
    <w:p w14:paraId="7155F63E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“通道2上料”</w:t>
      </w:r>
      <w:r>
        <w:rPr>
          <w:rFonts w:hint="eastAsia"/>
          <w:sz w:val="28"/>
          <w:szCs w:val="28"/>
        </w:rPr>
        <w:t>则为选择通道2进行上料流程；</w:t>
      </w:r>
    </w:p>
    <w:p w14:paraId="19AB6DA2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“A有料”</w:t>
      </w:r>
      <w:r>
        <w:rPr>
          <w:rFonts w:hint="eastAsia"/>
          <w:sz w:val="28"/>
          <w:szCs w:val="28"/>
        </w:rPr>
        <w:t>显示检测室内A盘有料在位；</w:t>
      </w:r>
    </w:p>
    <w:p w14:paraId="3587F2F1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“B有料”</w:t>
      </w:r>
      <w:r>
        <w:rPr>
          <w:rFonts w:hint="eastAsia"/>
          <w:sz w:val="28"/>
          <w:szCs w:val="28"/>
        </w:rPr>
        <w:t>显示检测室内B盘有料在位；</w:t>
      </w:r>
    </w:p>
    <w:p w14:paraId="13622C13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“上料步骤号”</w:t>
      </w:r>
      <w:r>
        <w:rPr>
          <w:rFonts w:hint="eastAsia"/>
          <w:sz w:val="28"/>
          <w:szCs w:val="28"/>
        </w:rPr>
        <w:t>显示当前上料流程进行到的步骤；</w:t>
      </w:r>
    </w:p>
    <w:p w14:paraId="6E989F90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“具备上料运行条件”</w:t>
      </w:r>
      <w:r>
        <w:rPr>
          <w:rFonts w:hint="eastAsia"/>
          <w:sz w:val="28"/>
          <w:szCs w:val="28"/>
        </w:rPr>
        <w:t>显示所有伺服都准备就绪，夹爪准备就绪可以进行上料流程；</w:t>
      </w:r>
    </w:p>
    <w:p w14:paraId="63D8106E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“伺服在位”</w:t>
      </w:r>
      <w:r>
        <w:rPr>
          <w:rFonts w:hint="eastAsia"/>
          <w:sz w:val="28"/>
          <w:szCs w:val="28"/>
        </w:rPr>
        <w:t>显示搬运伺服都已到位，夹爪准备就绪可以进行上料流程；</w:t>
      </w:r>
    </w:p>
    <w:p w14:paraId="7D6A0D9B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“上料开始按钮”</w:t>
      </w:r>
      <w:r>
        <w:rPr>
          <w:rFonts w:hint="eastAsia"/>
          <w:sz w:val="28"/>
          <w:szCs w:val="28"/>
        </w:rPr>
        <w:t>则进行上料动作流程，即夹爪从制样位置（此位置依据</w:t>
      </w:r>
      <w:r>
        <w:rPr>
          <w:rFonts w:hint="eastAsia"/>
          <w:b/>
          <w:sz w:val="28"/>
          <w:szCs w:val="28"/>
        </w:rPr>
        <w:t>通道1上料”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b/>
          <w:sz w:val="28"/>
          <w:szCs w:val="28"/>
        </w:rPr>
        <w:t>“通道2上料”</w:t>
      </w:r>
      <w:r>
        <w:rPr>
          <w:rFonts w:hint="eastAsia"/>
          <w:sz w:val="28"/>
          <w:szCs w:val="28"/>
        </w:rPr>
        <w:t>的选择）夹取治具，翻转后送入检测室并退回待工作位；</w:t>
      </w:r>
    </w:p>
    <w:p w14:paraId="7F895B24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“上料暂停按钮”</w:t>
      </w:r>
      <w:r>
        <w:rPr>
          <w:rFonts w:hint="eastAsia"/>
          <w:sz w:val="28"/>
          <w:szCs w:val="28"/>
        </w:rPr>
        <w:t>则暂停上料动作流程，即夹爪停在当前位置。</w:t>
      </w:r>
    </w:p>
    <w:p w14:paraId="786387F2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“上料继续按钮”</w:t>
      </w:r>
      <w:r>
        <w:rPr>
          <w:rFonts w:hint="eastAsia"/>
          <w:sz w:val="28"/>
          <w:szCs w:val="28"/>
        </w:rPr>
        <w:t>则从暂停后的流程继续执行，即夹爪从暂停的位置继续完成上料动作；</w:t>
      </w:r>
    </w:p>
    <w:p w14:paraId="5D8E6640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“上料停止按钮”</w:t>
      </w:r>
      <w:r>
        <w:rPr>
          <w:rFonts w:hint="eastAsia"/>
          <w:sz w:val="28"/>
          <w:szCs w:val="28"/>
        </w:rPr>
        <w:t>则终止上料动作流程；</w:t>
      </w:r>
    </w:p>
    <w:p w14:paraId="1E1239CF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“上料完成”</w:t>
      </w:r>
      <w:r>
        <w:rPr>
          <w:rFonts w:hint="eastAsia"/>
          <w:sz w:val="28"/>
          <w:szCs w:val="28"/>
        </w:rPr>
        <w:t>显示上料流程已完成；</w:t>
      </w:r>
    </w:p>
    <w:p w14:paraId="7D6D2DFB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“夹爪旋转”</w:t>
      </w:r>
      <w:r>
        <w:rPr>
          <w:rFonts w:hint="eastAsia"/>
          <w:sz w:val="28"/>
          <w:szCs w:val="28"/>
        </w:rPr>
        <w:t>：点击</w:t>
      </w:r>
      <w:r>
        <w:rPr>
          <w:rFonts w:hint="eastAsia"/>
          <w:b/>
          <w:sz w:val="28"/>
          <w:szCs w:val="28"/>
        </w:rPr>
        <w:t>“夹爪到0位按钮”</w:t>
      </w:r>
      <w:r>
        <w:rPr>
          <w:rFonts w:hint="eastAsia"/>
          <w:sz w:val="28"/>
          <w:szCs w:val="28"/>
        </w:rPr>
        <w:t>则夹爪翻转到零位；</w:t>
      </w:r>
    </w:p>
    <w:p w14:paraId="717DA2CD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“夹爪到180°位按钮”</w:t>
      </w:r>
      <w:r>
        <w:rPr>
          <w:rFonts w:hint="eastAsia"/>
          <w:sz w:val="28"/>
          <w:szCs w:val="28"/>
        </w:rPr>
        <w:t>则夹爪翻转半圈；</w:t>
      </w:r>
    </w:p>
    <w:p w14:paraId="2B0B77FF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 xml:space="preserve"> “夹爪松开”</w:t>
      </w:r>
      <w:r>
        <w:rPr>
          <w:rFonts w:hint="eastAsia"/>
          <w:sz w:val="28"/>
          <w:szCs w:val="28"/>
        </w:rPr>
        <w:t>：点击</w:t>
      </w:r>
      <w:r>
        <w:rPr>
          <w:rFonts w:hint="eastAsia"/>
          <w:b/>
          <w:sz w:val="28"/>
          <w:szCs w:val="28"/>
        </w:rPr>
        <w:t>“夹爪夹紧按钮”</w:t>
      </w:r>
      <w:r>
        <w:rPr>
          <w:rFonts w:hint="eastAsia"/>
          <w:sz w:val="28"/>
          <w:szCs w:val="28"/>
        </w:rPr>
        <w:t>则夹爪夹紧；</w:t>
      </w:r>
    </w:p>
    <w:p w14:paraId="640ACFBC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“夹爪松开按钮”</w:t>
      </w:r>
      <w:r>
        <w:rPr>
          <w:rFonts w:hint="eastAsia"/>
          <w:sz w:val="28"/>
          <w:szCs w:val="28"/>
        </w:rPr>
        <w:t>则夹爪松开；</w:t>
      </w:r>
    </w:p>
    <w:p w14:paraId="3FC99CE5">
      <w:pPr>
        <w:numPr>
          <w:ilvl w:val="0"/>
          <w:numId w:val="8"/>
        </w:numPr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本页最下方显示搬运及检测伺服的位置信息：</w:t>
      </w:r>
    </w:p>
    <w:p w14:paraId="7F75A7CF">
      <w:pPr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5039995" cy="2058035"/>
            <wp:effectExtent l="0" t="0" r="4445" b="14605"/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59C18">
      <w:pPr>
        <w:rPr>
          <w:sz w:val="24"/>
        </w:rPr>
      </w:pPr>
    </w:p>
    <w:p w14:paraId="2DC43A83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如</w:t>
      </w:r>
      <w:r>
        <w:rPr>
          <w:rFonts w:hint="eastAsia"/>
          <w:b/>
          <w:sz w:val="28"/>
          <w:szCs w:val="28"/>
        </w:rPr>
        <w:t>“搬运X轴位置”</w:t>
      </w:r>
      <w:r>
        <w:rPr>
          <w:rFonts w:hint="eastAsia"/>
          <w:sz w:val="28"/>
          <w:szCs w:val="28"/>
        </w:rPr>
        <w:t>：伺服运行到送样位置时变为绿色；</w:t>
      </w:r>
    </w:p>
    <w:p w14:paraId="21FE8A31">
      <w:pPr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                伺服运行到通道1取样位置时变为绿色；</w:t>
      </w:r>
    </w:p>
    <w:p w14:paraId="07D59EE0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“Actpostion”</w:t>
      </w:r>
      <w:r>
        <w:rPr>
          <w:rFonts w:hint="eastAsia"/>
          <w:sz w:val="28"/>
          <w:szCs w:val="28"/>
        </w:rPr>
        <w:t>下方数值显示伺服当前读取内部位置数据信息；</w:t>
      </w:r>
    </w:p>
    <w:p w14:paraId="57F8EAF7">
      <w:pPr>
        <w:numPr>
          <w:ilvl w:val="0"/>
          <w:numId w:val="8"/>
        </w:numPr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“工艺参数设置”</w:t>
      </w:r>
      <w:r>
        <w:rPr>
          <w:rFonts w:hint="eastAsia"/>
          <w:sz w:val="28"/>
          <w:szCs w:val="28"/>
        </w:rPr>
        <w:t>按钮则进入工艺参数设置页面；</w:t>
      </w:r>
    </w:p>
    <w:p w14:paraId="77AD7119">
      <w:pPr>
        <w:tabs>
          <w:tab w:val="left" w:pos="253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“通道1工艺参数设置”</w:t>
      </w:r>
      <w:r>
        <w:rPr>
          <w:rFonts w:hint="eastAsia"/>
          <w:sz w:val="28"/>
          <w:szCs w:val="28"/>
        </w:rPr>
        <w:t>：</w:t>
      </w:r>
    </w:p>
    <w:p w14:paraId="013D5895">
      <w:pPr>
        <w:tabs>
          <w:tab w:val="left" w:pos="253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“当前延时时间”</w:t>
      </w:r>
      <w:r>
        <w:rPr>
          <w:rFonts w:hint="eastAsia"/>
          <w:sz w:val="28"/>
          <w:szCs w:val="28"/>
        </w:rPr>
        <w:t>是显示对应功能进行的时间；</w:t>
      </w:r>
    </w:p>
    <w:p w14:paraId="310F974D">
      <w:pPr>
        <w:tabs>
          <w:tab w:val="left" w:pos="253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“设置参数”</w:t>
      </w:r>
      <w:r>
        <w:rPr>
          <w:rFonts w:hint="eastAsia"/>
          <w:sz w:val="28"/>
          <w:szCs w:val="28"/>
        </w:rPr>
        <w:t>是对相应功能执行时间的设置；</w:t>
      </w:r>
    </w:p>
    <w:p w14:paraId="15D20618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“进矿时间”</w:t>
      </w:r>
      <w:r>
        <w:rPr>
          <w:rFonts w:hint="eastAsia"/>
          <w:sz w:val="28"/>
          <w:szCs w:val="28"/>
        </w:rPr>
        <w:t>设置矿浆阀打开的时间。</w:t>
      </w:r>
    </w:p>
    <w:p w14:paraId="750E0866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“进浆阀关阀延时时间”</w:t>
      </w:r>
      <w:r>
        <w:rPr>
          <w:rFonts w:hint="eastAsia"/>
          <w:sz w:val="28"/>
          <w:szCs w:val="28"/>
        </w:rPr>
        <w:t>设置矿浆阀打开后延时关闭的时间。</w:t>
      </w:r>
    </w:p>
    <w:p w14:paraId="02E44ECA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“正压时间”</w:t>
      </w:r>
      <w:r>
        <w:rPr>
          <w:rFonts w:hint="eastAsia"/>
          <w:sz w:val="28"/>
          <w:szCs w:val="28"/>
        </w:rPr>
        <w:t>设置正压过滤排水的时间。</w:t>
      </w:r>
    </w:p>
    <w:p w14:paraId="36E7BC42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“滤筒冲洗时间”</w:t>
      </w:r>
      <w:r>
        <w:rPr>
          <w:rFonts w:hint="eastAsia"/>
          <w:sz w:val="28"/>
          <w:szCs w:val="28"/>
        </w:rPr>
        <w:t>设置过滤筒冲水的时间。</w:t>
      </w:r>
    </w:p>
    <w:p w14:paraId="57A6EB7F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“清洗吹气时间”</w:t>
      </w:r>
      <w:r>
        <w:rPr>
          <w:rFonts w:hint="eastAsia"/>
          <w:sz w:val="28"/>
          <w:szCs w:val="28"/>
        </w:rPr>
        <w:t>设置过滤筒清洗吹气的时间。</w:t>
      </w:r>
    </w:p>
    <w:p w14:paraId="6AB5200B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“泄压时间”</w:t>
      </w:r>
      <w:r>
        <w:rPr>
          <w:rFonts w:hint="eastAsia"/>
          <w:sz w:val="28"/>
          <w:szCs w:val="28"/>
        </w:rPr>
        <w:t>设置过滤筒泄压的时间。</w:t>
      </w:r>
    </w:p>
    <w:p w14:paraId="134BB9F9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“烘干时间”</w:t>
      </w:r>
      <w:r>
        <w:rPr>
          <w:rFonts w:hint="eastAsia"/>
          <w:sz w:val="28"/>
          <w:szCs w:val="28"/>
        </w:rPr>
        <w:t>设置矿粉烘干的时间。</w:t>
      </w:r>
    </w:p>
    <w:p w14:paraId="5BF7C22F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“烘干温度设定”</w:t>
      </w:r>
      <w:r>
        <w:rPr>
          <w:rFonts w:hint="eastAsia"/>
          <w:sz w:val="28"/>
          <w:szCs w:val="28"/>
        </w:rPr>
        <w:t>设置烘干筒加热温度。</w:t>
      </w:r>
    </w:p>
    <w:p w14:paraId="56ECF6CF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“通道1工艺参数设置”</w:t>
      </w:r>
      <w:r>
        <w:rPr>
          <w:rFonts w:hint="eastAsia"/>
          <w:sz w:val="28"/>
          <w:szCs w:val="28"/>
        </w:rPr>
        <w:t>与</w:t>
      </w:r>
      <w:r>
        <w:rPr>
          <w:rFonts w:hint="eastAsia"/>
          <w:b/>
          <w:sz w:val="28"/>
          <w:szCs w:val="28"/>
        </w:rPr>
        <w:t>“通道2工艺参数设置”</w:t>
      </w:r>
      <w:r>
        <w:rPr>
          <w:rFonts w:hint="eastAsia"/>
          <w:sz w:val="28"/>
          <w:szCs w:val="28"/>
        </w:rPr>
        <w:t>功能相同。</w:t>
      </w:r>
    </w:p>
    <w:p w14:paraId="3CD0D33B">
      <w:pPr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597400" cy="3208655"/>
            <wp:effectExtent l="0" t="0" r="5080" b="6985"/>
            <wp:docPr id="42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"/>
                    <pic:cNvPicPr preferRelativeResize="0"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202" cy="32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B4538">
      <w:pPr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工艺参数设置</w:t>
      </w:r>
    </w:p>
    <w:p w14:paraId="2A6076D8">
      <w:pPr>
        <w:numPr>
          <w:ilvl w:val="0"/>
          <w:numId w:val="8"/>
        </w:numPr>
        <w:autoSpaceDE/>
        <w:autoSpaceDN/>
        <w:rPr>
          <w:sz w:val="28"/>
          <w:szCs w:val="28"/>
        </w:rPr>
      </w:pPr>
      <w:r>
        <w:rPr>
          <w:rFonts w:hint="eastAsia"/>
          <w:sz w:val="28"/>
          <w:szCs w:val="28"/>
        </w:rPr>
        <w:t>控制系统手动操作画面中</w:t>
      </w:r>
    </w:p>
    <w:p w14:paraId="582DF68B">
      <w:pPr>
        <w:autoSpaceDE/>
        <w:autoSpaceDN/>
        <w:ind w:left="425"/>
        <w:rPr>
          <w:sz w:val="28"/>
          <w:szCs w:val="28"/>
        </w:rPr>
      </w:pPr>
    </w:p>
    <w:p w14:paraId="7E2DAE66">
      <w:pPr>
        <w:ind w:firstLine="2891" w:firstLineChars="1200"/>
        <w:rPr>
          <w:sz w:val="24"/>
        </w:rPr>
      </w:pPr>
      <w:r>
        <w:rPr>
          <w:b/>
          <w:sz w:val="24"/>
          <w:lang w:val="en-US" w:bidi="ar-SA"/>
        </w:rPr>
        <w:drawing>
          <wp:inline distT="0" distB="0" distL="0" distR="0">
            <wp:extent cx="2237740" cy="4286885"/>
            <wp:effectExtent l="0" t="0" r="2540" b="10795"/>
            <wp:docPr id="46808137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79" name="图片 9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522F8">
      <w:pPr>
        <w:ind w:firstLine="2880" w:firstLineChars="1200"/>
        <w:rPr>
          <w:sz w:val="24"/>
        </w:rPr>
      </w:pPr>
    </w:p>
    <w:p w14:paraId="7DB14ED3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“制样完成”</w:t>
      </w:r>
      <w:r>
        <w:rPr>
          <w:rFonts w:hint="eastAsia"/>
          <w:sz w:val="28"/>
          <w:szCs w:val="28"/>
        </w:rPr>
        <w:t>变成绿色代表制样已完成；</w:t>
      </w:r>
    </w:p>
    <w:p w14:paraId="2445321E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“自动制样条件”</w:t>
      </w:r>
      <w:r>
        <w:rPr>
          <w:rFonts w:hint="eastAsia"/>
          <w:sz w:val="28"/>
          <w:szCs w:val="28"/>
        </w:rPr>
        <w:t>变成绿色代表已具备自动制样条件；</w:t>
      </w:r>
    </w:p>
    <w:p w14:paraId="13B82265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“阀在原位”</w:t>
      </w:r>
      <w:r>
        <w:rPr>
          <w:rFonts w:hint="eastAsia"/>
          <w:sz w:val="28"/>
          <w:szCs w:val="28"/>
        </w:rPr>
        <w:t>变成绿色代表制样各阀在原始位置，如拨杆已收回、压制气缸在原位、防尘罩在原位；</w:t>
      </w:r>
    </w:p>
    <w:p w14:paraId="09DB6D26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“伺服在原位”</w:t>
      </w:r>
      <w:r>
        <w:rPr>
          <w:rFonts w:hint="eastAsia"/>
          <w:sz w:val="28"/>
          <w:szCs w:val="28"/>
        </w:rPr>
        <w:t>变成绿色代表搅拌机构在原始位置，烘干筒在接料位；</w:t>
      </w:r>
    </w:p>
    <w:p w14:paraId="1DB23D3F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“具备自动制样运行”</w:t>
      </w:r>
      <w:r>
        <w:rPr>
          <w:rFonts w:hint="eastAsia"/>
          <w:sz w:val="28"/>
          <w:szCs w:val="28"/>
        </w:rPr>
        <w:t>变成绿色代表制样伺服均已使能且无故障并在原位、治具已在位、制样部分阀均在原位；移动、烘干、搅拌电机速度设置不为零；整机无故障；</w:t>
      </w:r>
    </w:p>
    <w:p w14:paraId="1E7D1617">
      <w:pPr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“1号治具在位”</w:t>
      </w:r>
      <w:r>
        <w:rPr>
          <w:rFonts w:hint="eastAsia"/>
          <w:sz w:val="28"/>
          <w:szCs w:val="28"/>
        </w:rPr>
        <w:t>变成绿色代表治具在原位；</w:t>
      </w:r>
    </w:p>
    <w:p w14:paraId="0109CB0A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“制样1空料模式”</w:t>
      </w:r>
      <w:r>
        <w:rPr>
          <w:rFonts w:hint="eastAsia"/>
          <w:sz w:val="28"/>
          <w:szCs w:val="28"/>
        </w:rPr>
        <w:t>在不带料，测试设备整个流程时使用；</w:t>
      </w:r>
    </w:p>
    <w:p w14:paraId="1B1C9178">
      <w:pPr>
        <w:tabs>
          <w:tab w:val="left" w:pos="312"/>
        </w:tabs>
        <w:spacing w:line="360" w:lineRule="auto"/>
        <w:rPr>
          <w:sz w:val="28"/>
          <w:szCs w:val="28"/>
        </w:rPr>
      </w:pPr>
    </w:p>
    <w:p w14:paraId="62117A3E">
      <w:pPr>
        <w:tabs>
          <w:tab w:val="left" w:pos="312"/>
        </w:tabs>
        <w:spacing w:line="360" w:lineRule="auto"/>
        <w:ind w:left="3092" w:hanging="3092" w:hangingChars="1100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“制样1带料模式”</w:t>
      </w:r>
      <w:r>
        <w:rPr>
          <w:rFonts w:hint="eastAsia"/>
          <w:sz w:val="28"/>
          <w:szCs w:val="28"/>
        </w:rPr>
        <w:t>在正常生产时，带料执行整个流程时使用；</w:t>
      </w:r>
    </w:p>
    <w:p w14:paraId="708F0DF5">
      <w:pPr>
        <w:tabs>
          <w:tab w:val="left" w:pos="312"/>
        </w:tabs>
        <w:rPr>
          <w:sz w:val="24"/>
        </w:rPr>
      </w:pPr>
    </w:p>
    <w:p w14:paraId="4FCA3427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209415" cy="3200400"/>
            <wp:effectExtent l="0" t="0" r="12065" b="0"/>
            <wp:docPr id="43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 preferRelativeResize="0"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734" cy="320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C8D4C">
      <w:pPr>
        <w:tabs>
          <w:tab w:val="left" w:pos="312"/>
        </w:tabs>
        <w:jc w:val="center"/>
        <w:rPr>
          <w:sz w:val="24"/>
        </w:rPr>
      </w:pPr>
    </w:p>
    <w:p w14:paraId="32B8D4BC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“定量液位1”</w:t>
      </w:r>
      <w:r>
        <w:rPr>
          <w:rFonts w:hint="eastAsia"/>
          <w:sz w:val="28"/>
          <w:szCs w:val="28"/>
        </w:rPr>
        <w:t>指示定量器是否已满，如矿浆已填满“已满”变绿色；</w:t>
      </w:r>
    </w:p>
    <w:p w14:paraId="1F5B22BC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“加热温度”</w:t>
      </w:r>
      <w:r>
        <w:rPr>
          <w:rFonts w:hint="eastAsia"/>
          <w:sz w:val="28"/>
          <w:szCs w:val="28"/>
        </w:rPr>
        <w:t>显示加热筒当前温度；</w:t>
      </w:r>
    </w:p>
    <w:p w14:paraId="62654E9C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“水流信号”</w:t>
      </w:r>
      <w:r>
        <w:rPr>
          <w:rFonts w:hint="eastAsia"/>
          <w:sz w:val="28"/>
          <w:szCs w:val="28"/>
        </w:rPr>
        <w:t>在过滤器有水流出时变绿色，代表矿浆正在过滤排水；</w:t>
      </w:r>
    </w:p>
    <w:p w14:paraId="2821B79C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“滤布累计使用次数”</w:t>
      </w:r>
      <w:r>
        <w:rPr>
          <w:rFonts w:hint="eastAsia"/>
          <w:sz w:val="28"/>
          <w:szCs w:val="28"/>
        </w:rPr>
        <w:t>显示滤布累计使用的次数；</w:t>
      </w:r>
    </w:p>
    <w:p w14:paraId="775527A7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“滤布累计清除”</w:t>
      </w:r>
      <w:r>
        <w:rPr>
          <w:rFonts w:hint="eastAsia"/>
          <w:sz w:val="28"/>
          <w:szCs w:val="28"/>
        </w:rPr>
        <w:t>点击清除滤布累计使用的次数；</w:t>
      </w:r>
    </w:p>
    <w:p w14:paraId="1A0432C7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“制样前门解锁”</w:t>
      </w:r>
      <w:r>
        <w:rPr>
          <w:rFonts w:hint="eastAsia"/>
          <w:sz w:val="28"/>
          <w:szCs w:val="28"/>
        </w:rPr>
        <w:t>点击则将制样区前门解锁；</w:t>
      </w:r>
    </w:p>
    <w:p w14:paraId="56301101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“制样后门解锁”</w:t>
      </w:r>
      <w:r>
        <w:rPr>
          <w:rFonts w:hint="eastAsia"/>
          <w:sz w:val="28"/>
          <w:szCs w:val="28"/>
        </w:rPr>
        <w:t>点击则将制样区后门解锁；</w:t>
      </w:r>
    </w:p>
    <w:p w14:paraId="18E08777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“检测前门解锁”</w:t>
      </w:r>
      <w:r>
        <w:rPr>
          <w:rFonts w:hint="eastAsia"/>
          <w:sz w:val="28"/>
          <w:szCs w:val="28"/>
        </w:rPr>
        <w:t>点击则将检测区前门解锁；</w:t>
      </w:r>
    </w:p>
    <w:p w14:paraId="180CF61F">
      <w:pPr>
        <w:tabs>
          <w:tab w:val="left" w:pos="312"/>
          <w:tab w:val="left" w:pos="5149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“检测后门解锁”</w:t>
      </w:r>
      <w:r>
        <w:rPr>
          <w:rFonts w:hint="eastAsia"/>
          <w:sz w:val="28"/>
          <w:szCs w:val="28"/>
        </w:rPr>
        <w:t>点击则将检测区后门解锁</w:t>
      </w:r>
      <w:r>
        <w:rPr>
          <w:sz w:val="28"/>
          <w:szCs w:val="28"/>
        </w:rPr>
        <w:tab/>
      </w:r>
    </w:p>
    <w:p w14:paraId="766DB66A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“样品仓1解锁”</w:t>
      </w:r>
      <w:r>
        <w:rPr>
          <w:rFonts w:hint="eastAsia"/>
          <w:sz w:val="28"/>
          <w:szCs w:val="28"/>
        </w:rPr>
        <w:t>点击则将样品仓1解锁；</w:t>
      </w:r>
    </w:p>
    <w:p w14:paraId="310FDB9E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“样品仓2解锁”</w:t>
      </w:r>
      <w:r>
        <w:rPr>
          <w:rFonts w:hint="eastAsia"/>
          <w:sz w:val="28"/>
          <w:szCs w:val="28"/>
        </w:rPr>
        <w:t>点击则将样品仓2解锁；</w:t>
      </w:r>
    </w:p>
    <w:p w14:paraId="02996B7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“样品仓3解锁”</w:t>
      </w:r>
      <w:r>
        <w:rPr>
          <w:rFonts w:hint="eastAsia"/>
          <w:sz w:val="28"/>
          <w:szCs w:val="28"/>
        </w:rPr>
        <w:t>点击则将样品仓3解锁；</w:t>
      </w:r>
    </w:p>
    <w:p w14:paraId="0D4FF30C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“样品仓4解锁”</w:t>
      </w:r>
      <w:r>
        <w:rPr>
          <w:rFonts w:hint="eastAsia"/>
          <w:sz w:val="28"/>
          <w:szCs w:val="28"/>
        </w:rPr>
        <w:t>点击则将样品仓4解锁；</w:t>
      </w:r>
    </w:p>
    <w:p w14:paraId="3A7033D5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“取样步骤号”</w:t>
      </w:r>
      <w:r>
        <w:rPr>
          <w:rFonts w:hint="eastAsia"/>
          <w:sz w:val="28"/>
          <w:szCs w:val="28"/>
        </w:rPr>
        <w:t>显示取样流程当前的步骤号；</w:t>
      </w:r>
    </w:p>
    <w:p w14:paraId="670AFAC6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“制样步骤号”</w:t>
      </w:r>
      <w:r>
        <w:rPr>
          <w:rFonts w:hint="eastAsia"/>
          <w:sz w:val="28"/>
          <w:szCs w:val="28"/>
        </w:rPr>
        <w:t>显示制样流程当前的步骤号；</w:t>
      </w:r>
    </w:p>
    <w:p w14:paraId="060733D7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“制样时间秒”</w:t>
      </w:r>
      <w:r>
        <w:rPr>
          <w:rFonts w:hint="eastAsia"/>
          <w:sz w:val="28"/>
          <w:szCs w:val="28"/>
        </w:rPr>
        <w:t>显示制样流程执行的总时间，单位为秒；</w:t>
      </w:r>
    </w:p>
    <w:p w14:paraId="6037F220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“上料步骤”</w:t>
      </w:r>
      <w:r>
        <w:rPr>
          <w:rFonts w:hint="eastAsia"/>
          <w:sz w:val="28"/>
          <w:szCs w:val="28"/>
        </w:rPr>
        <w:t>显示上料流程当前的步骤名称；</w:t>
      </w:r>
    </w:p>
    <w:p w14:paraId="29E50648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“制样步骤”</w:t>
      </w:r>
      <w:r>
        <w:rPr>
          <w:rFonts w:hint="eastAsia"/>
          <w:sz w:val="28"/>
          <w:szCs w:val="28"/>
        </w:rPr>
        <w:t>显示制样流程当前的步骤名称；</w:t>
      </w:r>
    </w:p>
    <w:p w14:paraId="02761E2D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“下料步骤”</w:t>
      </w:r>
      <w:r>
        <w:rPr>
          <w:rFonts w:hint="eastAsia"/>
          <w:sz w:val="28"/>
          <w:szCs w:val="28"/>
        </w:rPr>
        <w:t>显示下料流程当前的步骤名称；</w:t>
      </w:r>
    </w:p>
    <w:p w14:paraId="1CB2BD1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“真空负压值”</w:t>
      </w:r>
      <w:r>
        <w:rPr>
          <w:rFonts w:hint="eastAsia"/>
          <w:sz w:val="28"/>
          <w:szCs w:val="28"/>
        </w:rPr>
        <w:t>显示检测室传感器腔体的真空度；</w:t>
      </w:r>
    </w:p>
    <w:p w14:paraId="4E03A6F8">
      <w:pPr>
        <w:numPr>
          <w:ilvl w:val="0"/>
          <w:numId w:val="8"/>
        </w:numPr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控制系统手动操作画面中，最右侧功能按钮为搬运伺服控制页，检测室伺服控制页及报警页面等</w:t>
      </w:r>
    </w:p>
    <w:p w14:paraId="745F9255">
      <w:pPr>
        <w:tabs>
          <w:tab w:val="left" w:pos="312"/>
        </w:tabs>
        <w:rPr>
          <w:sz w:val="24"/>
        </w:rPr>
      </w:pPr>
    </w:p>
    <w:p w14:paraId="3F46E2FF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459605" cy="3096260"/>
            <wp:effectExtent l="0" t="0" r="5715" b="12700"/>
            <wp:docPr id="47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"/>
                    <pic:cNvPicPr preferRelativeResize="0"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3080" cy="309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2459B">
      <w:pPr>
        <w:tabs>
          <w:tab w:val="left" w:pos="312"/>
        </w:tabs>
        <w:rPr>
          <w:sz w:val="24"/>
        </w:rPr>
      </w:pPr>
    </w:p>
    <w:p w14:paraId="5E6F79CB">
      <w:pPr>
        <w:tabs>
          <w:tab w:val="left" w:pos="312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“搬运X轴运行界面”</w:t>
      </w:r>
      <w:r>
        <w:rPr>
          <w:rFonts w:hint="eastAsia"/>
          <w:sz w:val="28"/>
          <w:szCs w:val="28"/>
        </w:rPr>
        <w:t>按钮则进入以下画面</w:t>
      </w:r>
    </w:p>
    <w:p w14:paraId="0922A859">
      <w:pPr>
        <w:tabs>
          <w:tab w:val="left" w:pos="312"/>
        </w:tabs>
        <w:rPr>
          <w:sz w:val="24"/>
        </w:rPr>
      </w:pPr>
    </w:p>
    <w:p w14:paraId="5156484F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382135" cy="3268980"/>
            <wp:effectExtent l="0" t="0" r="6985" b="7620"/>
            <wp:docPr id="7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 preferRelativeResize="0"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594" cy="328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73518">
      <w:pPr>
        <w:tabs>
          <w:tab w:val="left" w:pos="312"/>
        </w:tabs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搬运X轴运行界面</w:t>
      </w:r>
    </w:p>
    <w:p w14:paraId="420CC8DE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其功能与</w:t>
      </w:r>
      <w:r>
        <w:rPr>
          <w:rFonts w:hint="eastAsia"/>
          <w:b/>
          <w:sz w:val="28"/>
          <w:szCs w:val="28"/>
        </w:rPr>
        <w:t>“搅拌移动伺服页面”</w:t>
      </w:r>
      <w:r>
        <w:rPr>
          <w:rFonts w:hint="eastAsia"/>
          <w:sz w:val="28"/>
          <w:szCs w:val="28"/>
        </w:rPr>
        <w:t>内相同，不再赘述。</w:t>
      </w:r>
    </w:p>
    <w:p w14:paraId="6B3220E0">
      <w:pPr>
        <w:numPr>
          <w:ilvl w:val="0"/>
          <w:numId w:val="8"/>
        </w:numPr>
        <w:tabs>
          <w:tab w:val="left" w:pos="312"/>
        </w:tabs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“搬运Z轴运行界面”</w:t>
      </w:r>
      <w:r>
        <w:rPr>
          <w:rFonts w:hint="eastAsia"/>
          <w:sz w:val="28"/>
          <w:szCs w:val="28"/>
        </w:rPr>
        <w:t>按钮则进入搬运Z轴伺服画面，其功能与X轴运行相同；</w:t>
      </w:r>
    </w:p>
    <w:p w14:paraId="560D7FCF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“搬运C轴运行界面”</w:t>
      </w:r>
      <w:r>
        <w:rPr>
          <w:rFonts w:hint="eastAsia"/>
          <w:sz w:val="28"/>
          <w:szCs w:val="28"/>
        </w:rPr>
        <w:t>按钮则进入搬运C轴伺服画面，其功能与X轴运行相同；</w:t>
      </w:r>
    </w:p>
    <w:p w14:paraId="419D32F0">
      <w:pPr>
        <w:numPr>
          <w:ilvl w:val="0"/>
          <w:numId w:val="8"/>
        </w:numPr>
        <w:tabs>
          <w:tab w:val="left" w:pos="312"/>
        </w:tabs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“检测室手动控制画面”</w:t>
      </w:r>
      <w:r>
        <w:rPr>
          <w:rFonts w:hint="eastAsia"/>
          <w:sz w:val="28"/>
          <w:szCs w:val="28"/>
        </w:rPr>
        <w:t>按钮则进入检测室手动控制画面</w:t>
      </w:r>
    </w:p>
    <w:p w14:paraId="474D05FC">
      <w:pPr>
        <w:tabs>
          <w:tab w:val="left" w:pos="312"/>
        </w:tabs>
        <w:rPr>
          <w:sz w:val="24"/>
        </w:rPr>
      </w:pPr>
    </w:p>
    <w:p w14:paraId="3C6B4FA9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5039995" cy="2620010"/>
            <wp:effectExtent l="0" t="0" r="4445" b="1270"/>
            <wp:docPr id="9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 preferRelativeResize="0"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2405F">
      <w:pPr>
        <w:tabs>
          <w:tab w:val="left" w:pos="312"/>
        </w:tabs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检测室手动控制画面</w:t>
      </w:r>
    </w:p>
    <w:p w14:paraId="672B5096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检测光源真空气缸：</w:t>
      </w:r>
    </w:p>
    <w:p w14:paraId="7F76A86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“检测气缸开到位”</w:t>
      </w:r>
      <w:r>
        <w:rPr>
          <w:rFonts w:hint="eastAsia"/>
          <w:sz w:val="28"/>
          <w:szCs w:val="28"/>
        </w:rPr>
        <w:t>显示真空气缸抬起是否到位，到位显示绿色；</w:t>
      </w:r>
    </w:p>
    <w:p w14:paraId="541049C1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“检测气缸关到位”</w:t>
      </w:r>
      <w:r>
        <w:rPr>
          <w:rFonts w:hint="eastAsia"/>
          <w:sz w:val="28"/>
          <w:szCs w:val="28"/>
        </w:rPr>
        <w:t>显示真空气缸落下是否到位，到位显示绿色；</w:t>
      </w:r>
    </w:p>
    <w:p w14:paraId="1629E386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“真空气缸抬起按钮”</w:t>
      </w:r>
      <w:r>
        <w:rPr>
          <w:rFonts w:hint="eastAsia"/>
          <w:sz w:val="28"/>
          <w:szCs w:val="28"/>
        </w:rPr>
        <w:t>点击则真空气缸抬起；</w:t>
      </w:r>
    </w:p>
    <w:p w14:paraId="149DD8FF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“真空气缸下压按钮”</w:t>
      </w:r>
      <w:r>
        <w:rPr>
          <w:rFonts w:hint="eastAsia"/>
          <w:sz w:val="28"/>
          <w:szCs w:val="28"/>
        </w:rPr>
        <w:t>点击则真空气缸下压；</w:t>
      </w:r>
    </w:p>
    <w:p w14:paraId="496A5DC2">
      <w:pPr>
        <w:tabs>
          <w:tab w:val="left" w:pos="312"/>
        </w:tabs>
        <w:spacing w:line="360" w:lineRule="auto"/>
        <w:rPr>
          <w:sz w:val="28"/>
          <w:szCs w:val="28"/>
        </w:rPr>
      </w:pPr>
    </w:p>
    <w:p w14:paraId="1C018FE6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检测室控制真空泵：</w:t>
      </w:r>
    </w:p>
    <w:p w14:paraId="79C91026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“真空负压度”</w:t>
      </w:r>
      <w:r>
        <w:rPr>
          <w:rFonts w:hint="eastAsia"/>
          <w:sz w:val="28"/>
          <w:szCs w:val="28"/>
        </w:rPr>
        <w:t>显示传感器腔体真空度值；</w:t>
      </w:r>
    </w:p>
    <w:p w14:paraId="289EECF1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“真空泵手动启动按钮”</w:t>
      </w:r>
      <w:r>
        <w:rPr>
          <w:rFonts w:hint="eastAsia"/>
          <w:sz w:val="28"/>
          <w:szCs w:val="28"/>
        </w:rPr>
        <w:t>点击则真空泵启动；</w:t>
      </w:r>
    </w:p>
    <w:p w14:paraId="6CA5443D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“真空泵手动停止按钮”</w:t>
      </w:r>
      <w:r>
        <w:rPr>
          <w:rFonts w:hint="eastAsia"/>
          <w:sz w:val="28"/>
          <w:szCs w:val="28"/>
        </w:rPr>
        <w:t>点击则真空泵停止；</w:t>
      </w:r>
    </w:p>
    <w:p w14:paraId="2E9FDADC">
      <w:pPr>
        <w:tabs>
          <w:tab w:val="left" w:pos="312"/>
        </w:tabs>
        <w:spacing w:line="360" w:lineRule="auto"/>
        <w:rPr>
          <w:sz w:val="28"/>
          <w:szCs w:val="28"/>
        </w:rPr>
      </w:pPr>
    </w:p>
    <w:p w14:paraId="1982D50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检测室送样拉门：</w:t>
      </w:r>
    </w:p>
    <w:p w14:paraId="56CBBA18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“送样门开”</w:t>
      </w:r>
      <w:r>
        <w:rPr>
          <w:rFonts w:hint="eastAsia"/>
          <w:sz w:val="28"/>
          <w:szCs w:val="28"/>
        </w:rPr>
        <w:t>显示送样室拉门是否开到位，到位显示绿色；</w:t>
      </w:r>
    </w:p>
    <w:p w14:paraId="2202ED1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“送样门关”</w:t>
      </w:r>
      <w:r>
        <w:rPr>
          <w:rFonts w:hint="eastAsia"/>
          <w:sz w:val="28"/>
          <w:szCs w:val="28"/>
        </w:rPr>
        <w:t>显示送样室拉门是否关到位，到位显示绿色；</w:t>
      </w:r>
    </w:p>
    <w:p w14:paraId="32708924">
      <w:pPr>
        <w:tabs>
          <w:tab w:val="left" w:pos="312"/>
        </w:tabs>
        <w:spacing w:line="360" w:lineRule="auto"/>
        <w:rPr>
          <w:sz w:val="28"/>
          <w:szCs w:val="28"/>
        </w:rPr>
      </w:pPr>
      <w:bookmarkStart w:id="21" w:name="OLE_LINK1"/>
      <w:r>
        <w:rPr>
          <w:rFonts w:hint="eastAsia"/>
          <w:b/>
          <w:sz w:val="28"/>
          <w:szCs w:val="28"/>
        </w:rPr>
        <w:t>“拉门打开按钮”</w:t>
      </w:r>
      <w:r>
        <w:rPr>
          <w:rFonts w:hint="eastAsia"/>
          <w:sz w:val="28"/>
          <w:szCs w:val="28"/>
        </w:rPr>
        <w:t>点击则拉门打开；</w:t>
      </w:r>
    </w:p>
    <w:bookmarkEnd w:id="21"/>
    <w:p w14:paraId="170C8307">
      <w:pPr>
        <w:tabs>
          <w:tab w:val="left" w:pos="312"/>
        </w:tabs>
        <w:spacing w:line="360" w:lineRule="auto"/>
        <w:rPr>
          <w:sz w:val="24"/>
        </w:rPr>
      </w:pPr>
      <w:r>
        <w:rPr>
          <w:rFonts w:hint="eastAsia"/>
          <w:b/>
          <w:sz w:val="24"/>
        </w:rPr>
        <w:t>“拉门关闭按钮”</w:t>
      </w:r>
      <w:r>
        <w:rPr>
          <w:rFonts w:hint="eastAsia"/>
          <w:sz w:val="24"/>
        </w:rPr>
        <w:t>点击则拉门关闭；</w:t>
      </w:r>
    </w:p>
    <w:p w14:paraId="5E6965A4">
      <w:pPr>
        <w:numPr>
          <w:ilvl w:val="0"/>
          <w:numId w:val="8"/>
        </w:numPr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“检测X轴伺服页面”</w:t>
      </w:r>
      <w:r>
        <w:rPr>
          <w:rFonts w:hint="eastAsia"/>
          <w:sz w:val="28"/>
          <w:szCs w:val="28"/>
        </w:rPr>
        <w:t>将进入检测X轴伺服控制页面</w:t>
      </w:r>
    </w:p>
    <w:p w14:paraId="344A58D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其功能与</w:t>
      </w:r>
      <w:r>
        <w:rPr>
          <w:rFonts w:hint="eastAsia"/>
          <w:b/>
          <w:sz w:val="28"/>
          <w:szCs w:val="28"/>
        </w:rPr>
        <w:t>“搅拌移动伺服页面”</w:t>
      </w:r>
      <w:r>
        <w:rPr>
          <w:rFonts w:hint="eastAsia"/>
          <w:sz w:val="28"/>
          <w:szCs w:val="28"/>
        </w:rPr>
        <w:t>内相同，不再赘述。</w:t>
      </w:r>
    </w:p>
    <w:p w14:paraId="30C5C838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>
        <w:rPr>
          <w:rFonts w:hint="eastAsia"/>
          <w:b/>
          <w:sz w:val="28"/>
          <w:szCs w:val="28"/>
        </w:rPr>
        <w:t>“检测Y轴伺服页面”</w:t>
      </w:r>
      <w:r>
        <w:rPr>
          <w:rFonts w:hint="eastAsia"/>
          <w:sz w:val="28"/>
          <w:szCs w:val="28"/>
        </w:rPr>
        <w:t>将进入检测Y轴伺服控制页面，功能与</w:t>
      </w:r>
      <w:r>
        <w:rPr>
          <w:rFonts w:hint="eastAsia"/>
          <w:b/>
          <w:sz w:val="28"/>
          <w:szCs w:val="28"/>
        </w:rPr>
        <w:t>“检测X轴伺服页面”</w:t>
      </w:r>
      <w:r>
        <w:rPr>
          <w:rFonts w:hint="eastAsia"/>
          <w:sz w:val="28"/>
          <w:szCs w:val="28"/>
        </w:rPr>
        <w:t>相同；</w:t>
      </w:r>
    </w:p>
    <w:p w14:paraId="34702FA4">
      <w:pPr>
        <w:tabs>
          <w:tab w:val="left" w:pos="312"/>
        </w:tabs>
        <w:rPr>
          <w:sz w:val="24"/>
        </w:rPr>
      </w:pPr>
    </w:p>
    <w:p w14:paraId="2AFB4FF8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269740" cy="3027680"/>
            <wp:effectExtent l="0" t="0" r="12700" b="5080"/>
            <wp:docPr id="49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162" cy="303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D5D05">
      <w:pPr>
        <w:tabs>
          <w:tab w:val="left" w:pos="312"/>
        </w:tabs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检测X轴伺服页面</w:t>
      </w:r>
    </w:p>
    <w:p w14:paraId="193B0B13">
      <w:pPr>
        <w:numPr>
          <w:ilvl w:val="0"/>
          <w:numId w:val="8"/>
        </w:numPr>
        <w:autoSpaceDE/>
        <w:autoSpaceDN/>
        <w:spacing w:line="360" w:lineRule="auto"/>
        <w:rPr>
          <w:sz w:val="24"/>
        </w:rPr>
      </w:pPr>
      <w:r>
        <w:rPr>
          <w:rFonts w:hint="eastAsia"/>
          <w:sz w:val="24"/>
        </w:rPr>
        <w:t xml:space="preserve">工艺参数设置 </w:t>
      </w:r>
    </w:p>
    <w:p w14:paraId="1F2BD4FC">
      <w:pPr>
        <w:autoSpaceDE/>
        <w:autoSpaceDN/>
        <w:spacing w:line="360" w:lineRule="auto"/>
        <w:ind w:left="425"/>
        <w:rPr>
          <w:sz w:val="24"/>
        </w:rPr>
      </w:pPr>
    </w:p>
    <w:p w14:paraId="4A49C800">
      <w:pPr>
        <w:autoSpaceDE/>
        <w:autoSpaceDN/>
        <w:spacing w:line="360" w:lineRule="auto"/>
        <w:ind w:left="425"/>
        <w:jc w:val="center"/>
        <w:rPr>
          <w:sz w:val="24"/>
        </w:rPr>
      </w:pPr>
      <w:r>
        <w:rPr>
          <w:b/>
          <w:sz w:val="24"/>
          <w:lang w:val="en-US" w:bidi="ar-SA"/>
        </w:rPr>
        <w:drawing>
          <wp:inline distT="0" distB="0" distL="0" distR="0">
            <wp:extent cx="1352550" cy="2309495"/>
            <wp:effectExtent l="0" t="0" r="3810" b="6985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059" cy="231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3E445">
      <w:pPr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“1通道进浆阀开”</w:t>
      </w:r>
      <w:r>
        <w:rPr>
          <w:rFonts w:hint="eastAsia"/>
          <w:sz w:val="28"/>
          <w:szCs w:val="28"/>
        </w:rPr>
        <w:t>手动控制1通道进浆阀打开；</w:t>
      </w:r>
    </w:p>
    <w:p w14:paraId="1536F791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“2通道进浆阀开”</w:t>
      </w:r>
      <w:r>
        <w:rPr>
          <w:rFonts w:hint="eastAsia"/>
          <w:sz w:val="28"/>
          <w:szCs w:val="28"/>
        </w:rPr>
        <w:t>手动控制2通道进浆阀打开；</w:t>
      </w:r>
    </w:p>
    <w:p w14:paraId="77D3D123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“启动泵启动”</w:t>
      </w:r>
      <w:r>
        <w:rPr>
          <w:rFonts w:hint="eastAsia"/>
          <w:sz w:val="28"/>
          <w:szCs w:val="28"/>
        </w:rPr>
        <w:t>手动控制气动进浆泵打开；</w:t>
      </w:r>
    </w:p>
    <w:p w14:paraId="79B68AC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“启动泵停止”</w:t>
      </w:r>
      <w:r>
        <w:rPr>
          <w:rFonts w:hint="eastAsia"/>
          <w:sz w:val="28"/>
          <w:szCs w:val="28"/>
        </w:rPr>
        <w:t>手动控制气动进浆泵停止；</w:t>
      </w:r>
    </w:p>
    <w:p w14:paraId="1C74D83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“故障报警显示”</w:t>
      </w:r>
      <w:r>
        <w:rPr>
          <w:rFonts w:hint="eastAsia"/>
          <w:sz w:val="28"/>
          <w:szCs w:val="28"/>
        </w:rPr>
        <w:t>显示故障信息；</w:t>
      </w:r>
    </w:p>
    <w:p w14:paraId="7E82DE43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“步骤指南”</w:t>
      </w:r>
      <w:r>
        <w:rPr>
          <w:rFonts w:hint="eastAsia"/>
          <w:sz w:val="28"/>
          <w:szCs w:val="28"/>
        </w:rPr>
        <w:t>显示进程步骤信息；</w:t>
      </w:r>
    </w:p>
    <w:p w14:paraId="3483EBAD">
      <w:pPr>
        <w:tabs>
          <w:tab w:val="left" w:pos="312"/>
        </w:tabs>
        <w:rPr>
          <w:sz w:val="24"/>
        </w:rPr>
      </w:pPr>
    </w:p>
    <w:p w14:paraId="2960111F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114300" distR="114300">
            <wp:extent cx="4157345" cy="3113405"/>
            <wp:effectExtent l="0" t="0" r="3175" b="10795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160408" cy="311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52A08">
      <w:pPr>
        <w:tabs>
          <w:tab w:val="left" w:pos="312"/>
        </w:tabs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步骤指南</w:t>
      </w:r>
    </w:p>
    <w:p w14:paraId="1966E15B">
      <w:pPr>
        <w:pStyle w:val="14"/>
        <w:ind w:firstLine="560"/>
        <w:rPr>
          <w:rFonts w:hint="eastAsia"/>
          <w:sz w:val="28"/>
          <w:szCs w:val="28"/>
        </w:rPr>
      </w:pPr>
    </w:p>
    <w:p w14:paraId="5C26AE86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bookmarkStart w:id="22" w:name="_Toc23924_WPSOffice_Level2"/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3.7.2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进浆系统</w:t>
      </w:r>
      <w:bookmarkEnd w:id="22"/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 xml:space="preserve">   </w:t>
      </w:r>
    </w:p>
    <w:p w14:paraId="18B3E2DE">
      <w:pPr>
        <w:tabs>
          <w:tab w:val="left" w:pos="312"/>
        </w:tabs>
        <w:spacing w:line="360" w:lineRule="auto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进浆系统控制矿浆进入灰分分析仪，可独立控制，可在“远程”模式跟随分析仪进行相应动作，也可“本地”模式单独控制每个阀等动作。</w:t>
      </w:r>
    </w:p>
    <w:p w14:paraId="011B0487">
      <w:pPr>
        <w:numPr>
          <w:ilvl w:val="0"/>
          <w:numId w:val="9"/>
        </w:numPr>
        <w:tabs>
          <w:tab w:val="left" w:pos="312"/>
        </w:tabs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系统开机</w:t>
      </w:r>
    </w:p>
    <w:p w14:paraId="58C69255">
      <w:pPr>
        <w:tabs>
          <w:tab w:val="left" w:pos="312"/>
        </w:tabs>
        <w:jc w:val="center"/>
        <w:rPr>
          <w:sz w:val="24"/>
        </w:rPr>
      </w:pPr>
      <w:r>
        <w:rPr>
          <w:rFonts w:hint="eastAsia"/>
          <w:sz w:val="24"/>
          <w:lang w:val="en-US" w:bidi="ar-SA"/>
        </w:rPr>
        <w:drawing>
          <wp:inline distT="0" distB="0" distL="114300" distR="114300">
            <wp:extent cx="2774950" cy="2082165"/>
            <wp:effectExtent l="3492" t="0" r="0" b="0"/>
            <wp:docPr id="53" name="图片 53" descr="ad083e907ead053bab0a2eef6465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ad083e907ead053bab0a2eef6465bc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7495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07522">
      <w:pPr>
        <w:tabs>
          <w:tab w:val="left" w:pos="312"/>
        </w:tabs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进浆系统电控柜</w:t>
      </w:r>
    </w:p>
    <w:p w14:paraId="2E193C0C">
      <w:pPr>
        <w:tabs>
          <w:tab w:val="left" w:pos="312"/>
        </w:tabs>
        <w:spacing w:line="360" w:lineRule="auto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闭合电控柜右侧“总开关”及柜内所有断路器即可开机，开机后触摸屏将进入如下画面；</w:t>
      </w:r>
    </w:p>
    <w:p w14:paraId="60B61DB4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882515" cy="3355340"/>
            <wp:effectExtent l="0" t="0" r="0" b="0"/>
            <wp:docPr id="15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 preferRelativeResize="0"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080" cy="33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01B25">
      <w:pPr>
        <w:tabs>
          <w:tab w:val="left" w:pos="312"/>
        </w:tabs>
        <w:spacing w:line="480" w:lineRule="auto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进浆控制系统画面</w:t>
      </w:r>
    </w:p>
    <w:p w14:paraId="377ED8C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“1号矿浆压力值”</w:t>
      </w:r>
      <w:r>
        <w:rPr>
          <w:rFonts w:hint="eastAsia"/>
          <w:sz w:val="28"/>
          <w:szCs w:val="28"/>
        </w:rPr>
        <w:t>显示取样箱底部矿浆压力值；</w:t>
      </w:r>
    </w:p>
    <w:p w14:paraId="36CB1450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“1号入浆泵”</w:t>
      </w:r>
      <w:r>
        <w:rPr>
          <w:rFonts w:hint="eastAsia"/>
          <w:sz w:val="28"/>
          <w:szCs w:val="28"/>
        </w:rPr>
        <w:t>点击则打开1号入浆泵，按钮由红变绿；再点击则1号入浆泵关闭，按钮由绿变红；</w:t>
      </w:r>
    </w:p>
    <w:p w14:paraId="47558294">
      <w:pPr>
        <w:tabs>
          <w:tab w:val="left" w:pos="312"/>
        </w:tabs>
        <w:spacing w:line="360" w:lineRule="auto"/>
        <w:rPr>
          <w:sz w:val="24"/>
        </w:rPr>
      </w:pPr>
      <w:r>
        <w:rPr>
          <w:rFonts w:hint="eastAsia"/>
          <w:b/>
          <w:sz w:val="28"/>
          <w:szCs w:val="28"/>
        </w:rPr>
        <w:t>“1号排浆泵”</w:t>
      </w:r>
      <w:r>
        <w:rPr>
          <w:rFonts w:hint="eastAsia"/>
          <w:sz w:val="28"/>
          <w:szCs w:val="28"/>
        </w:rPr>
        <w:t>点击则打开1号排浆泵，按钮由红变绿；再点击则1号排泵关闭，按钮由绿变红；</w:t>
      </w:r>
    </w:p>
    <w:p w14:paraId="2411FDD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“1号进水三通_主机”</w:t>
      </w:r>
      <w:r>
        <w:rPr>
          <w:rFonts w:hint="eastAsia"/>
          <w:sz w:val="28"/>
          <w:szCs w:val="28"/>
        </w:rPr>
        <w:t>点击则打开1号进水三通主机方向，使冲洗水进入主机，按钮由红变绿；再点击则1号进水三通主机方向关闭，按钮由绿变红；</w:t>
      </w:r>
    </w:p>
    <w:p w14:paraId="029EDC9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“1号进水三通_管道”</w:t>
      </w:r>
      <w:r>
        <w:rPr>
          <w:rFonts w:hint="eastAsia"/>
          <w:sz w:val="28"/>
          <w:szCs w:val="28"/>
        </w:rPr>
        <w:t>点击则打开1号进水三通管道方向，使冲洗水进入进浆管道，按钮由红变绿；再点击则1号进水三通管道方向关闭，按钮由绿变红；</w:t>
      </w:r>
    </w:p>
    <w:p w14:paraId="428090F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“1号进浆阀1”</w:t>
      </w:r>
      <w:r>
        <w:rPr>
          <w:rFonts w:hint="eastAsia"/>
          <w:sz w:val="28"/>
          <w:szCs w:val="28"/>
        </w:rPr>
        <w:t>点击则打开1号进浆阀，按钮由红变绿；再点击则1号进浆阀关闭，按钮由绿变红；</w:t>
      </w:r>
    </w:p>
    <w:p w14:paraId="5F66378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“1号进浆阀2”</w:t>
      </w:r>
      <w:r>
        <w:rPr>
          <w:rFonts w:hint="eastAsia"/>
          <w:sz w:val="28"/>
          <w:szCs w:val="28"/>
        </w:rPr>
        <w:t>点击则打开2号进浆阀，按钮由红变绿；再点击则2号进浆阀关闭，按钮由绿变红；</w:t>
      </w:r>
    </w:p>
    <w:p w14:paraId="40F8D671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“1号取样箱进水阀”</w:t>
      </w:r>
      <w:r>
        <w:rPr>
          <w:rFonts w:hint="eastAsia"/>
          <w:sz w:val="28"/>
          <w:szCs w:val="28"/>
        </w:rPr>
        <w:t>点击则打开1号取样箱进水阀，按钮由红变绿；再点击则1号取样箱进水阀关闭，按钮由绿变红；</w:t>
      </w:r>
    </w:p>
    <w:p w14:paraId="1250876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“1号取样箱排料阀”</w:t>
      </w:r>
      <w:r>
        <w:rPr>
          <w:rFonts w:hint="eastAsia"/>
          <w:sz w:val="28"/>
          <w:szCs w:val="28"/>
        </w:rPr>
        <w:t>点击则打开1号取样箱排料阀，按钮由红变绿；再点击则1号取样箱进水阀关闭，按钮由绿变红；</w:t>
      </w:r>
    </w:p>
    <w:p w14:paraId="2B274A4B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“1号取样气缸_伸”</w:t>
      </w:r>
      <w:r>
        <w:rPr>
          <w:rFonts w:hint="eastAsia"/>
          <w:sz w:val="28"/>
          <w:szCs w:val="28"/>
        </w:rPr>
        <w:t>点击则1号取样气缸伸出接矿浆，按钮由红变绿；再点击则1号取样气缸保持，按钮由绿变红；</w:t>
      </w:r>
    </w:p>
    <w:p w14:paraId="1CEFB573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“1号取样气缸_收”</w:t>
      </w:r>
      <w:r>
        <w:rPr>
          <w:rFonts w:hint="eastAsia"/>
          <w:sz w:val="28"/>
          <w:szCs w:val="28"/>
        </w:rPr>
        <w:t>点击则1号取样气缸收回，按钮由红变绿；再点击则1号取样气缸保持，按钮由绿变红；</w:t>
      </w:r>
    </w:p>
    <w:p w14:paraId="22528EC2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“1号进浆三通_精矿池按钮”</w:t>
      </w:r>
      <w:r>
        <w:rPr>
          <w:rFonts w:hint="eastAsia"/>
          <w:sz w:val="28"/>
          <w:szCs w:val="28"/>
        </w:rPr>
        <w:t>点击则打开1号进浆三通精矿池方向，使矿浆进入精矿池，按钮由红变绿；再点击则1号进水三通精矿池方向关闭，按钮由绿变红；</w:t>
      </w:r>
    </w:p>
    <w:p w14:paraId="5508A95F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“1号进浆三通_取样箱按钮”</w:t>
      </w:r>
      <w:r>
        <w:rPr>
          <w:rFonts w:hint="eastAsia"/>
          <w:sz w:val="28"/>
          <w:szCs w:val="28"/>
        </w:rPr>
        <w:t>点击则打开1号进浆三通取样箱方向，使矿浆进入取样箱，按钮由红变绿；再点击则1号进水三通取样箱方向关闭，按钮由绿变红；</w:t>
      </w:r>
    </w:p>
    <w:p w14:paraId="4B71BE97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2#通道与1#通道功能相同；</w:t>
      </w:r>
    </w:p>
    <w:p w14:paraId="547708D7">
      <w:pPr>
        <w:numPr>
          <w:ilvl w:val="0"/>
          <w:numId w:val="9"/>
        </w:numPr>
        <w:autoSpaceDE/>
        <w:autoSpaceDN/>
        <w:spacing w:line="36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点击进浆系统主页</w:t>
      </w:r>
      <w:r>
        <w:rPr>
          <w:rFonts w:hint="eastAsia"/>
          <w:b/>
          <w:sz w:val="28"/>
          <w:szCs w:val="28"/>
        </w:rPr>
        <w:t>“设置”</w:t>
      </w:r>
      <w:r>
        <w:rPr>
          <w:rFonts w:hint="eastAsia"/>
          <w:sz w:val="28"/>
          <w:szCs w:val="28"/>
        </w:rPr>
        <w:t>按钮则进入下面画面：</w:t>
      </w:r>
    </w:p>
    <w:p w14:paraId="2C25FBEA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“1#矿浆浓度设定值”</w:t>
      </w:r>
      <w:r>
        <w:rPr>
          <w:rFonts w:hint="eastAsia"/>
          <w:sz w:val="28"/>
          <w:szCs w:val="28"/>
        </w:rPr>
        <w:t>可根据产品需要设定灰分分析仪1#通道需要的矿浆浓度；</w:t>
      </w:r>
    </w:p>
    <w:p w14:paraId="25C6E44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“2#矿浆浓度设定值”</w:t>
      </w:r>
      <w:r>
        <w:rPr>
          <w:rFonts w:hint="eastAsia"/>
          <w:sz w:val="28"/>
          <w:szCs w:val="28"/>
        </w:rPr>
        <w:t>可根据产品需要设定灰分分析仪2#通道需要的矿浆浓度；</w:t>
      </w:r>
    </w:p>
    <w:p w14:paraId="71792DB4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“1#管道清洗时间设定值”</w:t>
      </w:r>
      <w:r>
        <w:rPr>
          <w:rFonts w:hint="eastAsia"/>
          <w:sz w:val="28"/>
          <w:szCs w:val="28"/>
        </w:rPr>
        <w:t>可根据需要设定灰分分析仪1#通道管道清洗的时间；</w:t>
      </w:r>
    </w:p>
    <w:p w14:paraId="095BC271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“2#管道清洗时间设定值”</w:t>
      </w:r>
      <w:r>
        <w:rPr>
          <w:rFonts w:hint="eastAsia"/>
          <w:sz w:val="28"/>
          <w:szCs w:val="28"/>
        </w:rPr>
        <w:t>可根据需要设定灰分分析仪2#通道管道清洗的时间；</w:t>
      </w:r>
    </w:p>
    <w:p w14:paraId="3078893B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“1#取样箱清洗时间设定值”</w:t>
      </w:r>
      <w:r>
        <w:rPr>
          <w:rFonts w:hint="eastAsia"/>
          <w:sz w:val="28"/>
          <w:szCs w:val="28"/>
        </w:rPr>
        <w:t>可根据需要设定进浆系统1#取样箱清洗的时间；</w:t>
      </w:r>
    </w:p>
    <w:p w14:paraId="607F03CC">
      <w:pPr>
        <w:tabs>
          <w:tab w:val="left" w:pos="312"/>
        </w:tabs>
        <w:spacing w:line="360" w:lineRule="auto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“2#取样箱清洗时间设定值”</w:t>
      </w:r>
      <w:r>
        <w:rPr>
          <w:rFonts w:hint="eastAsia"/>
          <w:sz w:val="28"/>
          <w:szCs w:val="28"/>
        </w:rPr>
        <w:t>可根据需要设定进浆系统2#取样箱清洗的时间；</w:t>
      </w:r>
    </w:p>
    <w:p w14:paraId="643BC8A9">
      <w:pPr>
        <w:tabs>
          <w:tab w:val="left" w:pos="312"/>
        </w:tabs>
        <w:rPr>
          <w:sz w:val="24"/>
        </w:rPr>
      </w:pPr>
    </w:p>
    <w:p w14:paraId="0AED5B16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0" distR="0">
            <wp:extent cx="4695825" cy="3581400"/>
            <wp:effectExtent l="0" t="0" r="9525" b="0"/>
            <wp:docPr id="18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761" cy="358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1ECB5">
      <w:pPr>
        <w:tabs>
          <w:tab w:val="left" w:pos="312"/>
        </w:tabs>
        <w:rPr>
          <w:sz w:val="24"/>
        </w:rPr>
      </w:pPr>
    </w:p>
    <w:p w14:paraId="783FB44C">
      <w:pPr>
        <w:numPr>
          <w:ilvl w:val="0"/>
          <w:numId w:val="9"/>
        </w:numPr>
        <w:autoSpaceDE/>
        <w:autoSpaceDN/>
        <w:spacing w:line="360" w:lineRule="auto"/>
        <w:ind w:left="540" w:hanging="540" w:hangingChars="193"/>
        <w:rPr>
          <w:sz w:val="28"/>
          <w:szCs w:val="28"/>
        </w:rPr>
      </w:pPr>
      <w:r>
        <w:rPr>
          <w:rFonts w:hint="eastAsia"/>
          <w:sz w:val="28"/>
          <w:szCs w:val="28"/>
        </w:rPr>
        <w:t>点击进浆系统主页</w:t>
      </w:r>
      <w:r>
        <w:rPr>
          <w:rFonts w:hint="eastAsia"/>
          <w:b/>
          <w:sz w:val="28"/>
          <w:szCs w:val="28"/>
        </w:rPr>
        <w:t>“报警”</w:t>
      </w:r>
      <w:r>
        <w:rPr>
          <w:rFonts w:hint="eastAsia"/>
          <w:sz w:val="28"/>
          <w:szCs w:val="28"/>
        </w:rPr>
        <w:t>按钮则进入下面画面：</w:t>
      </w:r>
    </w:p>
    <w:p w14:paraId="6D10A22C">
      <w:pPr>
        <w:tabs>
          <w:tab w:val="left" w:pos="312"/>
        </w:tabs>
        <w:rPr>
          <w:sz w:val="24"/>
        </w:rPr>
      </w:pPr>
    </w:p>
    <w:p w14:paraId="1220E2C6">
      <w:pPr>
        <w:tabs>
          <w:tab w:val="left" w:pos="312"/>
        </w:tabs>
        <w:jc w:val="center"/>
        <w:rPr>
          <w:sz w:val="24"/>
        </w:rPr>
      </w:pPr>
      <w:r>
        <w:rPr>
          <w:lang w:val="en-US" w:bidi="ar-SA"/>
        </w:rPr>
        <w:drawing>
          <wp:inline distT="0" distB="0" distL="114300" distR="114300">
            <wp:extent cx="4389120" cy="3277870"/>
            <wp:effectExtent l="0" t="0" r="0" b="0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393671" cy="328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3EDFC">
      <w:pPr>
        <w:tabs>
          <w:tab w:val="left" w:pos="312"/>
        </w:tabs>
        <w:rPr>
          <w:sz w:val="24"/>
        </w:rPr>
      </w:pPr>
    </w:p>
    <w:p w14:paraId="3A993D01">
      <w:pPr>
        <w:tabs>
          <w:tab w:val="left" w:pos="312"/>
        </w:tabs>
        <w:rPr>
          <w:sz w:val="24"/>
        </w:rPr>
      </w:pPr>
      <w:r>
        <w:rPr>
          <w:sz w:val="24"/>
        </w:rPr>
        <w:br w:type="page"/>
      </w:r>
    </w:p>
    <w:p w14:paraId="3AD2334E">
      <w:pPr>
        <w:keepNext/>
        <w:keepLines/>
        <w:numPr>
          <w:ilvl w:val="0"/>
          <w:numId w:val="1"/>
        </w:numPr>
        <w:spacing w:before="260" w:after="260" w:line="413" w:lineRule="auto"/>
        <w:jc w:val="both"/>
        <w:outlineLvl w:val="1"/>
        <w:rPr>
          <w:rFonts w:hint="default" w:ascii="Arial" w:hAnsi="Arial" w:eastAsia="黑体" w:cs="Times New Roman"/>
          <w:b/>
          <w:kern w:val="2"/>
          <w:sz w:val="32"/>
          <w:szCs w:val="24"/>
          <w:lang w:val="en-US" w:eastAsia="zh-CN" w:bidi="ar-SA"/>
        </w:rPr>
      </w:pPr>
      <w:bookmarkStart w:id="23" w:name="_Toc7295"/>
      <w:bookmarkStart w:id="24" w:name="_Toc7597_WPSOffice_Level1"/>
      <w:r>
        <w:rPr>
          <w:rFonts w:hint="eastAsia" w:ascii="Arial" w:hAnsi="Arial" w:eastAsia="黑体" w:cs="Times New Roman"/>
          <w:b/>
          <w:kern w:val="2"/>
          <w:sz w:val="32"/>
          <w:szCs w:val="24"/>
          <w:lang w:val="en-US" w:bidi="ar-SA"/>
        </w:rPr>
        <w:t>分析系统维护</w:t>
      </w:r>
      <w:bookmarkEnd w:id="23"/>
    </w:p>
    <w:p w14:paraId="33B81367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bookmarkStart w:id="25" w:name="_Toc26600"/>
      <w:bookmarkStart w:id="26" w:name="_Toc31690"/>
      <w:bookmarkStart w:id="27" w:name="_Toc23477"/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4.1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日常巡检</w:t>
      </w:r>
      <w:bookmarkEnd w:id="25"/>
      <w:bookmarkEnd w:id="26"/>
      <w:bookmarkEnd w:id="27"/>
    </w:p>
    <w:p w14:paraId="73FE9C21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每日</w:t>
      </w:r>
      <w:r>
        <w:rPr>
          <w:rFonts w:ascii="Calibri" w:hAnsi="Calibri" w:cs="Times New Roman"/>
          <w:kern w:val="2"/>
          <w:sz w:val="28"/>
          <w:szCs w:val="28"/>
          <w:lang w:val="en-US" w:bidi="ar-SA"/>
        </w:rPr>
        <w:t>检查主机设备、取样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系统</w:t>
      </w:r>
      <w:r>
        <w:rPr>
          <w:rFonts w:ascii="Calibri" w:hAnsi="Calibri" w:cs="Times New Roman"/>
          <w:kern w:val="2"/>
          <w:sz w:val="28"/>
          <w:szCs w:val="28"/>
          <w:lang w:val="en-US" w:bidi="ar-SA"/>
        </w:rPr>
        <w:t>相连接的水路、气路、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取样</w:t>
      </w:r>
      <w:r>
        <w:rPr>
          <w:rFonts w:ascii="Calibri" w:hAnsi="Calibri" w:cs="Times New Roman"/>
          <w:kern w:val="2"/>
          <w:sz w:val="28"/>
          <w:szCs w:val="28"/>
          <w:lang w:val="en-US" w:bidi="ar-SA"/>
        </w:rPr>
        <w:t>管路等状态，发现漏水、漏气、堵塞等及时维修；巡检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返浆桶</w:t>
      </w:r>
      <w:r>
        <w:rPr>
          <w:rFonts w:ascii="Calibri" w:hAnsi="Calibri" w:cs="Times New Roman"/>
          <w:kern w:val="2"/>
          <w:sz w:val="28"/>
          <w:szCs w:val="28"/>
          <w:lang w:val="en-US" w:bidi="ar-SA"/>
        </w:rPr>
        <w:t>工作状态，出现异常，及时维修。</w:t>
      </w:r>
    </w:p>
    <w:p w14:paraId="1162E194">
      <w:p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主要巡检位置及装置：</w:t>
      </w:r>
    </w:p>
    <w:p w14:paraId="57A334FB">
      <w:pPr>
        <w:autoSpaceDE/>
        <w:autoSpaceDN/>
        <w:spacing w:line="480" w:lineRule="auto"/>
        <w:jc w:val="both"/>
        <w:outlineLvl w:val="2"/>
        <w:rPr>
          <w:rFonts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</w:pPr>
      <w:bookmarkStart w:id="28" w:name="_Toc28272"/>
      <w:bookmarkStart w:id="29" w:name="_Toc22509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4.1.1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品位分析仪主机</w:t>
      </w:r>
      <w:bookmarkEnd w:id="28"/>
      <w:bookmarkEnd w:id="29"/>
    </w:p>
    <w:p w14:paraId="28E79C99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分析仪主机主要巡查供电、供水、供气是否异常，设备运行是否正常（绿灯）。</w:t>
      </w:r>
    </w:p>
    <w:p w14:paraId="691C29A1">
      <w:pPr>
        <w:keepNext/>
        <w:keepLines/>
        <w:spacing w:before="280" w:after="290" w:line="372" w:lineRule="auto"/>
        <w:jc w:val="both"/>
        <w:outlineLvl w:val="4"/>
        <w:rPr>
          <w:rFonts w:ascii="Calibri" w:hAnsi="Calibri" w:cs="Times New Roman"/>
          <w:b/>
          <w:kern w:val="2"/>
          <w:sz w:val="24"/>
          <w:szCs w:val="24"/>
          <w:lang w:val="en-US" w:bidi="ar-SA"/>
        </w:rPr>
      </w:pPr>
      <w:bookmarkStart w:id="30" w:name="_Toc25390"/>
      <w:r>
        <w:rPr>
          <w:rFonts w:hint="eastAsia" w:ascii="Calibri" w:hAnsi="Calibri" w:cs="Times New Roman"/>
          <w:b/>
          <w:kern w:val="2"/>
          <w:sz w:val="24"/>
          <w:szCs w:val="24"/>
          <w:lang w:val="en-US" w:eastAsia="zh-CN" w:bidi="ar-SA"/>
        </w:rPr>
        <w:t>4.</w:t>
      </w:r>
      <w:r>
        <w:rPr>
          <w:rFonts w:hint="eastAsia" w:ascii="Calibri" w:hAnsi="Calibri" w:cs="Times New Roman"/>
          <w:b/>
          <w:kern w:val="2"/>
          <w:sz w:val="24"/>
          <w:szCs w:val="24"/>
          <w:lang w:val="en-US" w:bidi="ar-SA"/>
        </w:rPr>
        <w:t>1.1.1分析仪供电</w:t>
      </w:r>
      <w:bookmarkEnd w:id="30"/>
    </w:p>
    <w:p w14:paraId="490F9C92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品位分析仪主机配有旋钮负荷开关，布置在分析仪主机右后方，分析仪布置厂房二层位置，如图下左图所示。由配电箱内引出供电线缆，连接至分析仪主机。</w:t>
      </w:r>
    </w:p>
    <w:p w14:paraId="3BA714E9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分析仪主机操作屏幕下方具有如下图急停开关、电源钥匙开关、电源指示灯、光源开启指示灯。当相应电源开关开启时，指示灯亮，右下图所示所示。同时设置有急停按钮，当急停按钮按下时，分析仪主机进入急停状态。</w:t>
      </w:r>
    </w:p>
    <w:p w14:paraId="60627BA7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日常巡检需要检查分析仪主机供电是否正常，如电源未接通，逐级检查，首先排查主机上急停及电源按钮，如正常，检查配电箱供电状态。</w:t>
      </w:r>
    </w:p>
    <w:p w14:paraId="0DDDAC60">
      <w:pPr>
        <w:autoSpaceDE/>
        <w:autoSpaceDN/>
        <w:spacing w:line="360" w:lineRule="auto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114300" distR="114300">
            <wp:extent cx="1847850" cy="1828800"/>
            <wp:effectExtent l="0" t="0" r="11430" b="0"/>
            <wp:docPr id="1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Calibri" w:hAnsi="Calibri" w:cs="Times New Roman"/>
          <w:kern w:val="2"/>
          <w:sz w:val="21"/>
          <w:szCs w:val="24"/>
          <w:lang w:val="en-US" w:bidi="ar-SA"/>
        </w:rPr>
        <w:t xml:space="preserve">    </w:t>
      </w:r>
      <w:r>
        <w:rPr>
          <w:rFonts w:hint="eastAsia" w:ascii="Calibri" w:hAnsi="Calibri" w:cs="Times New Roman"/>
          <w:kern w:val="2"/>
          <w:sz w:val="24"/>
          <w:szCs w:val="24"/>
          <w:lang w:val="en-US" w:bidi="ar-SA"/>
        </w:rPr>
        <w:drawing>
          <wp:inline distT="0" distB="0" distL="114300" distR="114300">
            <wp:extent cx="1804670" cy="1804670"/>
            <wp:effectExtent l="0" t="0" r="8890" b="8890"/>
            <wp:docPr id="136" name="图片 136" descr="11f7bb1acf6ef0d6de15198325e8b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11f7bb1acf6ef0d6de15198325e8bcd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A3DEF">
      <w:pPr>
        <w:autoSpaceDE/>
        <w:autoSpaceDN/>
        <w:spacing w:line="360" w:lineRule="auto"/>
        <w:ind w:firstLine="482" w:firstLineChars="200"/>
        <w:jc w:val="both"/>
        <w:rPr>
          <w:rFonts w:ascii="Calibri" w:hAnsi="Calibri" w:cs="Times New Roman"/>
          <w:b/>
          <w:bCs/>
          <w:i/>
          <w:iCs/>
          <w:kern w:val="2"/>
          <w:sz w:val="24"/>
          <w:szCs w:val="24"/>
          <w:lang w:val="en-US" w:bidi="ar-SA"/>
        </w:rPr>
      </w:pPr>
    </w:p>
    <w:p w14:paraId="7D3C8631">
      <w:pPr>
        <w:keepNext/>
        <w:keepLines/>
        <w:spacing w:before="280" w:after="290" w:line="372" w:lineRule="auto"/>
        <w:jc w:val="both"/>
        <w:outlineLvl w:val="4"/>
        <w:rPr>
          <w:rFonts w:ascii="Calibri" w:hAnsi="Calibri" w:cs="Times New Roman"/>
          <w:b/>
          <w:kern w:val="2"/>
          <w:sz w:val="24"/>
          <w:szCs w:val="24"/>
          <w:lang w:val="en-US" w:bidi="ar-SA"/>
        </w:rPr>
      </w:pPr>
      <w:bookmarkStart w:id="31" w:name="_Toc28631"/>
      <w:r>
        <w:rPr>
          <w:rFonts w:hint="eastAsia" w:ascii="Calibri" w:hAnsi="Calibri" w:cs="Times New Roman"/>
          <w:b/>
          <w:kern w:val="2"/>
          <w:sz w:val="24"/>
          <w:szCs w:val="24"/>
          <w:lang w:val="en-US" w:eastAsia="zh-CN" w:bidi="ar-SA"/>
        </w:rPr>
        <w:t>4.</w:t>
      </w:r>
      <w:r>
        <w:rPr>
          <w:rFonts w:hint="eastAsia" w:ascii="Calibri" w:hAnsi="Calibri" w:cs="Times New Roman"/>
          <w:b/>
          <w:kern w:val="2"/>
          <w:sz w:val="24"/>
          <w:szCs w:val="24"/>
          <w:lang w:val="en-US" w:bidi="ar-SA"/>
        </w:rPr>
        <w:t>1.1.2进浆管路</w:t>
      </w:r>
      <w:bookmarkEnd w:id="31"/>
    </w:p>
    <w:p w14:paraId="1C2F0183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color w:val="FF0000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日常巡检，需要对取样系统B到分析仪A之间的管路BG1/BG2、返浆桶C到矿浆池管路进行检查，如发生漏点或堵管，及时进行更换或清理。</w:t>
      </w:r>
    </w:p>
    <w:p w14:paraId="0D224CEC">
      <w:pPr>
        <w:autoSpaceDE/>
        <w:autoSpaceDN/>
        <w:spacing w:line="360" w:lineRule="auto"/>
        <w:ind w:firstLine="480" w:firstLineChars="200"/>
        <w:jc w:val="both"/>
        <w:rPr>
          <w:rFonts w:ascii="Calibri" w:hAnsi="Calibri" w:cs="Times New Roman"/>
          <w:color w:val="FF0000"/>
          <w:kern w:val="2"/>
          <w:sz w:val="24"/>
          <w:szCs w:val="24"/>
          <w:lang w:val="en-US" w:bidi="ar-SA"/>
        </w:rPr>
      </w:pPr>
    </w:p>
    <w:p w14:paraId="532BC730">
      <w:pPr>
        <w:autoSpaceDE/>
        <w:autoSpaceDN/>
        <w:spacing w:line="360" w:lineRule="auto"/>
        <w:ind w:firstLine="440" w:firstLineChars="200"/>
        <w:jc w:val="both"/>
        <w:rPr>
          <w:rFonts w:ascii="Calibri" w:hAnsi="Calibri" w:cs="Times New Roman"/>
          <w:color w:val="FF0000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4622800" cy="3232150"/>
            <wp:effectExtent l="0" t="0" r="10160" b="13970"/>
            <wp:docPr id="468081380" name="图片 46808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80" name="图片 46808138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624331" cy="32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E953D">
      <w:pPr>
        <w:autoSpaceDE/>
        <w:autoSpaceDN/>
        <w:spacing w:line="360" w:lineRule="auto"/>
        <w:rPr>
          <w:lang w:val="en-US" w:bidi="ar-SA"/>
        </w:rPr>
      </w:pPr>
      <w:r>
        <w:rPr>
          <w:rFonts w:hint="eastAsia"/>
          <w:lang w:val="en-US" w:bidi="ar-SA"/>
        </w:rPr>
        <w:t xml:space="preserve">  </w:t>
      </w:r>
    </w:p>
    <w:p w14:paraId="2B524946">
      <w:pPr>
        <w:autoSpaceDE/>
        <w:autoSpaceDN/>
        <w:spacing w:line="360" w:lineRule="auto"/>
        <w:jc w:val="both"/>
        <w:outlineLvl w:val="2"/>
        <w:rPr>
          <w:rFonts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</w:pPr>
      <w:bookmarkStart w:id="32" w:name="_Toc29452"/>
      <w:bookmarkStart w:id="33" w:name="_Toc6057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.2 取样</w:t>
      </w:r>
      <w:bookmarkEnd w:id="32"/>
      <w:bookmarkEnd w:id="33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系统</w:t>
      </w:r>
    </w:p>
    <w:p w14:paraId="2506828E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日常巡检，需要检查气路连接，包括气阀、软连接，如发现漏气，及时进行更换。</w:t>
      </w:r>
    </w:p>
    <w:p w14:paraId="26DCF4B5">
      <w:pPr>
        <w:autoSpaceDE/>
        <w:autoSpaceDN/>
        <w:spacing w:line="360" w:lineRule="auto"/>
        <w:ind w:firstLine="440" w:firstLineChars="200"/>
        <w:jc w:val="center"/>
      </w:pPr>
    </w:p>
    <w:p w14:paraId="69FC5FB2">
      <w:pPr>
        <w:autoSpaceDE/>
        <w:autoSpaceDN/>
        <w:spacing w:line="360" w:lineRule="auto"/>
        <w:ind w:firstLine="440" w:firstLineChars="200"/>
        <w:jc w:val="center"/>
        <w:rPr>
          <w:lang w:val="en-US"/>
        </w:rPr>
      </w:pPr>
      <w:r>
        <w:rPr>
          <w:lang w:val="en-US" w:bidi="ar-SA"/>
        </w:rPr>
        <w:drawing>
          <wp:inline distT="0" distB="0" distL="0" distR="0">
            <wp:extent cx="3357245" cy="2790825"/>
            <wp:effectExtent l="0" t="0" r="10795" b="13335"/>
            <wp:docPr id="468081381" name="图片 46808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81" name="图片 46808138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359450" cy="279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3617C">
      <w:p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1AC51C24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取样系统主要巡查管路供水、供气是否异常；管路是否堵塞。</w:t>
      </w:r>
      <w:bookmarkStart w:id="34" w:name="_Toc24796"/>
      <w:r>
        <w:rPr>
          <w:rFonts w:hint="eastAsia" w:ascii="Calibri" w:hAnsi="Calibri" w:cs="Times New Roman"/>
          <w:b/>
          <w:kern w:val="2"/>
          <w:sz w:val="24"/>
          <w:szCs w:val="24"/>
          <w:lang w:val="en-US" w:bidi="ar-SA"/>
        </w:rPr>
        <w:t>取样系统供水</w:t>
      </w:r>
      <w:bookmarkEnd w:id="34"/>
      <w:r>
        <w:rPr>
          <w:rFonts w:hint="eastAsia" w:ascii="Calibri" w:hAnsi="Calibri" w:cs="Times New Roman"/>
          <w:b/>
          <w:kern w:val="2"/>
          <w:sz w:val="24"/>
          <w:szCs w:val="24"/>
          <w:lang w:val="en-US" w:bidi="ar-SA"/>
        </w:rPr>
        <w:t>供气：</w:t>
      </w:r>
    </w:p>
    <w:p w14:paraId="148470F7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每个取样器配有1路水阀，水阀通过水管连接到取样料盒上。对取样管进行冲洗。</w:t>
      </w:r>
    </w:p>
    <w:p w14:paraId="19813EFE">
      <w:pPr>
        <w:autoSpaceDE/>
        <w:autoSpaceDN/>
        <w:spacing w:line="360" w:lineRule="auto"/>
        <w:ind w:firstLine="440" w:firstLineChars="200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3023235" cy="2037715"/>
            <wp:effectExtent l="0" t="0" r="9525" b="4445"/>
            <wp:docPr id="468081382" name="图片 46808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82" name="图片 46808138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23334" cy="203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33D3C">
      <w:pPr>
        <w:autoSpaceDE/>
        <w:autoSpaceDN/>
        <w:spacing w:line="360" w:lineRule="auto"/>
        <w:ind w:firstLine="482" w:firstLineChars="200"/>
        <w:jc w:val="both"/>
        <w:rPr>
          <w:rFonts w:ascii="Calibri" w:hAnsi="Calibri" w:cs="Times New Roman"/>
          <w:b/>
          <w:bCs/>
          <w:i/>
          <w:iCs/>
          <w:kern w:val="2"/>
          <w:sz w:val="24"/>
          <w:szCs w:val="24"/>
          <w:lang w:val="en-US" w:bidi="ar-SA"/>
        </w:rPr>
      </w:pPr>
    </w:p>
    <w:p w14:paraId="2229E193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日常巡检，需要检查水路连接，包括冲洗阀、软连接，如发现漏水，及时进行更换。</w:t>
      </w:r>
    </w:p>
    <w:p w14:paraId="35A894E7">
      <w:pPr>
        <w:autoSpaceDE/>
        <w:autoSpaceDN/>
        <w:jc w:val="both"/>
        <w:outlineLvl w:val="2"/>
        <w:rPr>
          <w:rFonts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</w:pPr>
      <w:bookmarkStart w:id="35" w:name="_Toc3165"/>
      <w:bookmarkStart w:id="36" w:name="_Toc15084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.</w:t>
      </w:r>
      <w:bookmarkEnd w:id="35"/>
      <w:bookmarkEnd w:id="36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3 返浆桶</w:t>
      </w:r>
    </w:p>
    <w:p w14:paraId="7BA16392">
      <w:pPr>
        <w:autoSpaceDE/>
        <w:autoSpaceDN/>
        <w:spacing w:line="360" w:lineRule="auto"/>
        <w:ind w:firstLine="480" w:firstLineChars="200"/>
        <w:jc w:val="center"/>
        <w:rPr>
          <w:rFonts w:asciiTheme="minorEastAsia" w:hAnsiTheme="minorEastAsia" w:eastAsiaTheme="minorEastAsia" w:cstheme="minorEastAsia"/>
          <w:sz w:val="24"/>
          <w:szCs w:val="24"/>
        </w:rPr>
      </w:pPr>
    </w:p>
    <w:p w14:paraId="53A79DFD">
      <w:pPr>
        <w:autoSpaceDE/>
        <w:autoSpaceDN/>
        <w:spacing w:line="360" w:lineRule="auto"/>
        <w:ind w:firstLine="440" w:firstLineChars="200"/>
        <w:jc w:val="center"/>
        <w:rPr>
          <w:rFonts w:asciiTheme="minorEastAsia" w:hAnsiTheme="minorEastAsia" w:eastAsiaTheme="minorEastAsia" w:cstheme="minorEastAsia"/>
          <w:sz w:val="24"/>
          <w:szCs w:val="24"/>
        </w:rPr>
      </w:pPr>
      <w:r>
        <w:rPr>
          <w:lang w:val="en-US" w:bidi="ar-SA"/>
        </w:rPr>
        <w:drawing>
          <wp:inline distT="0" distB="0" distL="0" distR="0">
            <wp:extent cx="2000250" cy="2362200"/>
            <wp:effectExtent l="0" t="0" r="1143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04E24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返浆桶中的搅拌组件为运行常开设备，返浆泵为间歇运行设备，当搅拌组件内液位到达后返浆泵启动，然后开启返浆，返浆到达预设液位高度后返浆泵自动停止。</w:t>
      </w:r>
    </w:p>
    <w:p w14:paraId="1AEBC8D8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日常巡检，需要检查水路连接，包括冲洗阀、软连接，如发现漏水，及时进行更换。</w:t>
      </w:r>
    </w:p>
    <w:p w14:paraId="6662BD2C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ascii="Calibri" w:hAnsi="Calibri" w:cs="Times New Roman"/>
          <w:b/>
          <w:kern w:val="2"/>
          <w:sz w:val="30"/>
          <w:szCs w:val="30"/>
          <w:lang w:val="en-US" w:bidi="ar-SA"/>
        </w:rPr>
      </w:pPr>
      <w:bookmarkStart w:id="37" w:name="_Toc24969"/>
      <w:bookmarkStart w:id="38" w:name="_Toc21115"/>
      <w:bookmarkStart w:id="39" w:name="_Toc241"/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 xml:space="preserve">4.2 </w:t>
      </w:r>
      <w:r>
        <w:rPr>
          <w:rFonts w:hint="eastAsia" w:ascii="Calibri" w:hAnsi="Calibri" w:cs="Times New Roman"/>
          <w:b/>
          <w:kern w:val="2"/>
          <w:sz w:val="30"/>
          <w:szCs w:val="30"/>
          <w:lang w:val="en-US" w:bidi="ar-SA"/>
        </w:rPr>
        <w:t>定期维护</w:t>
      </w:r>
      <w:bookmarkEnd w:id="37"/>
      <w:bookmarkEnd w:id="38"/>
      <w:bookmarkEnd w:id="39"/>
    </w:p>
    <w:p w14:paraId="76525009">
      <w:pPr>
        <w:autoSpaceDE/>
        <w:autoSpaceDN/>
        <w:spacing w:line="360" w:lineRule="auto"/>
        <w:jc w:val="both"/>
        <w:outlineLvl w:val="2"/>
        <w:rPr>
          <w:rFonts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</w:pPr>
      <w:bookmarkStart w:id="40" w:name="_Toc7389"/>
      <w:bookmarkStart w:id="41" w:name="_Toc4797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2.1</w:t>
      </w:r>
      <w:bookmarkEnd w:id="40"/>
      <w:bookmarkEnd w:id="41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 xml:space="preserve"> 分析仪主机滤布</w:t>
      </w:r>
    </w:p>
    <w:p w14:paraId="10649CDD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分析仪主机滤布更换频率为1个星期，更换方法如下：</w:t>
      </w:r>
    </w:p>
    <w:p w14:paraId="7DBE175F">
      <w:pPr>
        <w:numPr>
          <w:ilvl w:val="0"/>
          <w:numId w:val="10"/>
        </w:num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当过滤时间超过</w:t>
      </w: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30</w:t>
      </w: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分钟时，主机页面会弹窗提示更换滤布，单通道停止运行。</w:t>
      </w:r>
    </w:p>
    <w:p w14:paraId="3C235C08">
      <w:pPr>
        <w:numPr>
          <w:ilvl w:val="0"/>
          <w:numId w:val="10"/>
        </w:numPr>
        <w:autoSpaceDE/>
        <w:autoSpaceDN/>
        <w:spacing w:line="360" w:lineRule="auto"/>
        <w:jc w:val="both"/>
        <w:rPr>
          <w:sz w:val="28"/>
          <w:szCs w:val="28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在维护窗口下将工艺点对应通道自动选择到维护状态，点击更换滤布命令；</w:t>
      </w:r>
    </w:p>
    <w:p w14:paraId="2FAB11FA">
      <w:pPr>
        <w:numPr>
          <w:ilvl w:val="0"/>
          <w:numId w:val="10"/>
        </w:num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打开制样区后上翻门，并将需要更换滤布通道旁边的气压阀旋转如下图所示；（旋转安全阀后设备无法控制更换区域内的所有机械结构，保证安全）</w:t>
      </w:r>
    </w:p>
    <w:p w14:paraId="5F55E30A">
      <w:pPr>
        <w:autoSpaceDE/>
        <w:autoSpaceDN/>
        <w:spacing w:line="360" w:lineRule="auto"/>
        <w:ind w:left="425"/>
        <w:jc w:val="both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64969BD8">
      <w:pPr>
        <w:autoSpaceDE/>
        <w:autoSpaceDN/>
        <w:spacing w:line="360" w:lineRule="auto"/>
        <w:ind w:firstLine="1540" w:firstLineChars="700"/>
        <w:jc w:val="both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114300" distR="114300">
            <wp:extent cx="3434080" cy="1672590"/>
            <wp:effectExtent l="0" t="0" r="10160" b="3810"/>
            <wp:docPr id="1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434080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D483E">
      <w:pPr>
        <w:autoSpaceDE/>
        <w:autoSpaceDN/>
        <w:spacing w:line="360" w:lineRule="auto"/>
        <w:ind w:firstLine="1960" w:firstLineChars="7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</w:p>
    <w:p w14:paraId="1D3F18C2">
      <w:pPr>
        <w:numPr>
          <w:ilvl w:val="0"/>
          <w:numId w:val="10"/>
        </w:numPr>
        <w:autoSpaceDE/>
        <w:autoSpaceDN/>
        <w:spacing w:line="360" w:lineRule="auto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打开过滤观察窗两侧锁扣，打开过滤料门</w:t>
      </w:r>
    </w:p>
    <w:p w14:paraId="69FC16CE">
      <w:pPr>
        <w:autoSpaceDE/>
        <w:autoSpaceDN/>
        <w:spacing w:line="360" w:lineRule="auto"/>
      </w:pPr>
    </w:p>
    <w:p w14:paraId="6455733F">
      <w:pPr>
        <w:autoSpaceDE/>
        <w:autoSpaceDN/>
        <w:spacing w:line="360" w:lineRule="auto"/>
        <w:jc w:val="center"/>
      </w:pPr>
      <w:r>
        <w:rPr>
          <w:lang w:val="en-US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3289935</wp:posOffset>
                </wp:positionH>
                <wp:positionV relativeFrom="paragraph">
                  <wp:posOffset>1040765</wp:posOffset>
                </wp:positionV>
                <wp:extent cx="422910" cy="577850"/>
                <wp:effectExtent l="12700" t="12700" r="21590" b="19050"/>
                <wp:wrapNone/>
                <wp:docPr id="57" name="椭圆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694" cy="5779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59.05pt;margin-top:81.95pt;height:45.5pt;width:33.3pt;z-index:251665408;v-text-anchor:middle;mso-width-relative:page;mso-height-relative:page;" filled="f" stroked="t" coordsize="21600,21600" o:gfxdata="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BPKIuW2QAAAAsBAAAPAAAAAAAAAAEAIAAAACIAAABkcnMvZG93bnJldi54bWxQSwECFAAU&#10;AAAACACHTuJAzj9Ud2ICAAC4BAAADgAAAAAAAAABACAAAAAoAQAAZHJzL2Uyb0RvYy54bWxQSwUG&#10;AAAAAAYABgBZAQAA/AUAAAAA&#10;">
                <v:fill on="f" focussize="0,0"/>
                <v:stroke weight="2pt" color="#FF0000 [3204]" joinstyle="round"/>
                <v:imagedata o:title=""/>
                <o:lock v:ext="edit" aspectratio="f"/>
              </v:shape>
            </w:pict>
          </mc:Fallback>
        </mc:AlternateContent>
      </w:r>
      <w:r>
        <w:rPr>
          <w:lang w:val="en-US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2042160</wp:posOffset>
                </wp:positionH>
                <wp:positionV relativeFrom="paragraph">
                  <wp:posOffset>1147445</wp:posOffset>
                </wp:positionV>
                <wp:extent cx="422910" cy="577850"/>
                <wp:effectExtent l="12700" t="12700" r="21590" b="19050"/>
                <wp:wrapNone/>
                <wp:docPr id="56" name="椭圆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694" cy="5779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60.8pt;margin-top:90.35pt;height:45.5pt;width:33.3pt;z-index:251664384;v-text-anchor:middle;mso-width-relative:page;mso-height-relative:page;" filled="f" stroked="t" coordsize="21600,21600" o:gfxdata="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BZy5a22QAAAAsBAAAPAAAAAAAAAAEAIAAAACIAAABkcnMvZG93bnJldi54bWxQSwECFAAU&#10;AAAACACHTuJATuQC6mICAAC4BAAADgAAAAAAAAABACAAAAAoAQAAZHJzL2Uyb0RvYy54bWxQSwUG&#10;AAAAAAYABgBZAQAA/AUAAAAA&#10;">
                <v:fill on="f" focussize="0,0"/>
                <v:stroke weight="2pt" color="#FF0000 [3204]" joinstyle="round"/>
                <v:imagedata o:title=""/>
                <o:lock v:ext="edit" aspectratio="f"/>
              </v:shape>
            </w:pict>
          </mc:Fallback>
        </mc:AlternateContent>
      </w:r>
      <w:r>
        <w:rPr>
          <w:lang w:val="en-US" w:bidi="ar-SA"/>
        </w:rPr>
        <w:drawing>
          <wp:inline distT="0" distB="0" distL="0" distR="0">
            <wp:extent cx="2750820" cy="2311400"/>
            <wp:effectExtent l="0" t="0" r="762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762506" cy="232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6E34F">
      <w:pPr>
        <w:autoSpaceDE/>
        <w:autoSpaceDN/>
        <w:spacing w:line="360" w:lineRule="auto"/>
        <w:rPr>
          <w:lang w:val="en-US"/>
        </w:rPr>
      </w:pPr>
    </w:p>
    <w:p w14:paraId="2AE94C7B">
      <w:pPr>
        <w:numPr>
          <w:ilvl w:val="0"/>
          <w:numId w:val="10"/>
        </w:numPr>
        <w:autoSpaceDE/>
        <w:autoSpaceDN/>
        <w:spacing w:line="360" w:lineRule="auto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使用螺丝刀将滤布压板两侧螺钉拧下，取出压环与旧滤布。</w:t>
      </w:r>
    </w:p>
    <w:p w14:paraId="14487021">
      <w:pPr>
        <w:autoSpaceDE/>
        <w:autoSpaceDN/>
        <w:spacing w:line="360" w:lineRule="auto"/>
        <w:ind w:left="425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79AE2479">
      <w:pPr>
        <w:autoSpaceDE/>
        <w:autoSpaceDN/>
        <w:spacing w:line="360" w:lineRule="auto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2216785" cy="2292985"/>
            <wp:effectExtent l="0" t="0" r="8255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17726" cy="229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 w:bidi="ar-SA"/>
        </w:rPr>
        <w:drawing>
          <wp:inline distT="0" distB="0" distL="0" distR="0">
            <wp:extent cx="3030855" cy="2286000"/>
            <wp:effectExtent l="0" t="0" r="1905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031161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893DD">
      <w:pPr>
        <w:autoSpaceDE/>
        <w:autoSpaceDN/>
        <w:spacing w:line="360" w:lineRule="auto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548670DF">
      <w:pPr>
        <w:numPr>
          <w:ilvl w:val="0"/>
          <w:numId w:val="10"/>
        </w:numPr>
        <w:autoSpaceDE/>
        <w:autoSpaceDN/>
        <w:spacing w:line="360" w:lineRule="auto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将新滤布平铺在过滤底板上，再用压环压住滤布四周，保证滤布紧绷无褶皱，完成后压环与滤板齐平，再用螺丝刀将螺钉拧紧即可。</w:t>
      </w:r>
    </w:p>
    <w:p w14:paraId="2BA83A26">
      <w:pPr>
        <w:autoSpaceDE/>
        <w:autoSpaceDN/>
        <w:spacing w:line="360" w:lineRule="auto"/>
        <w:ind w:left="425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01F3A588">
      <w:pPr>
        <w:autoSpaceDE/>
        <w:autoSpaceDN/>
        <w:spacing w:line="360" w:lineRule="auto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3295650" cy="2294890"/>
            <wp:effectExtent l="0" t="0" r="11430" b="6350"/>
            <wp:docPr id="468081385" name="图片 46808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85" name="图片 468081385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296746" cy="229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612A4">
      <w:pPr>
        <w:autoSpaceDE/>
        <w:autoSpaceDN/>
        <w:spacing w:line="360" w:lineRule="auto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79C2C407">
      <w:pPr>
        <w:numPr>
          <w:ilvl w:val="0"/>
          <w:numId w:val="10"/>
        </w:numPr>
        <w:autoSpaceDE/>
        <w:autoSpaceDN/>
        <w:spacing w:line="360" w:lineRule="auto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将过滤门关闭并将两侧锁扣扣紧，按压并旋转气压阀如下图</w:t>
      </w:r>
    </w:p>
    <w:p w14:paraId="267FFA78">
      <w:pPr>
        <w:autoSpaceDE/>
        <w:autoSpaceDN/>
        <w:spacing w:line="360" w:lineRule="auto"/>
        <w:ind w:left="425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53BB317F">
      <w:pPr>
        <w:autoSpaceDE/>
        <w:autoSpaceDN/>
        <w:spacing w:line="360" w:lineRule="auto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3953510" cy="1757045"/>
            <wp:effectExtent l="0" t="0" r="8890" b="10795"/>
            <wp:docPr id="468081383" name="图片 46808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83" name="图片 46808138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957479" cy="175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956CF">
      <w:pPr>
        <w:autoSpaceDE/>
        <w:autoSpaceDN/>
        <w:spacing w:line="360" w:lineRule="auto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458572EF">
      <w:pPr>
        <w:numPr>
          <w:ilvl w:val="0"/>
          <w:numId w:val="10"/>
        </w:numPr>
        <w:autoSpaceDE/>
        <w:autoSpaceDN/>
        <w:spacing w:line="360" w:lineRule="auto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更换完毕后，按主机页面复位按钮，到下一周期自动运行。</w:t>
      </w:r>
    </w:p>
    <w:p w14:paraId="0754E063">
      <w:pPr>
        <w:autoSpaceDE/>
        <w:autoSpaceDN/>
        <w:spacing w:line="360" w:lineRule="auto"/>
        <w:ind w:left="425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641BE2EE">
      <w:pPr>
        <w:autoSpaceDE/>
        <w:autoSpaceDN/>
        <w:spacing w:line="360" w:lineRule="auto"/>
        <w:ind w:firstLine="440" w:firstLineChars="200"/>
        <w:jc w:val="center"/>
      </w:pPr>
      <w:r>
        <w:rPr>
          <w:lang w:val="en-US" w:bidi="ar-SA"/>
        </w:rPr>
        <w:drawing>
          <wp:inline distT="0" distB="0" distL="0" distR="0">
            <wp:extent cx="3429000" cy="3362960"/>
            <wp:effectExtent l="0" t="0" r="0" b="5080"/>
            <wp:docPr id="468081384" name="图片 46808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81384" name="图片 46808138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36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AE54C">
      <w:pPr>
        <w:autoSpaceDE/>
        <w:autoSpaceDN/>
        <w:spacing w:line="360" w:lineRule="auto"/>
        <w:ind w:firstLine="440" w:firstLineChars="200"/>
        <w:jc w:val="both"/>
      </w:pPr>
    </w:p>
    <w:p w14:paraId="2BEC3959">
      <w:pPr>
        <w:autoSpaceDE/>
        <w:autoSpaceDN/>
        <w:spacing w:line="360" w:lineRule="auto"/>
        <w:jc w:val="both"/>
        <w:outlineLvl w:val="2"/>
        <w:rPr>
          <w:rFonts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</w:pP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2.2 分析仪主机内部灰尘</w:t>
      </w:r>
    </w:p>
    <w:p w14:paraId="6173A769">
      <w:pPr>
        <w:autoSpaceDE/>
        <w:autoSpaceDN/>
        <w:spacing w:line="360" w:lineRule="auto"/>
        <w:ind w:firstLine="560" w:firstLineChars="200"/>
        <w:jc w:val="both"/>
        <w:rPr>
          <w:rFonts w:hint="eastAsia"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分析仪主机内部灰尘清理：可定期对设备内灰尘进行清扫，可将灰尘集中到设备下方的接尘槽中，积攒一定量后，可将积尘槽拉出，将灰尘倒掉。</w:t>
      </w:r>
    </w:p>
    <w:p w14:paraId="6B96E485">
      <w:pPr>
        <w:autoSpaceDE/>
        <w:autoSpaceDN/>
        <w:spacing w:line="360" w:lineRule="auto"/>
        <w:ind w:firstLine="560" w:firstLineChars="200"/>
        <w:jc w:val="both"/>
        <w:rPr>
          <w:rFonts w:hint="default" w:ascii="Calibri" w:hAnsi="Calibri" w:eastAsia="宋体" w:cs="Times New Roman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Calibri" w:hAnsi="Calibri" w:cs="Times New Roman"/>
          <w:color w:val="auto"/>
          <w:kern w:val="2"/>
          <w:sz w:val="28"/>
          <w:szCs w:val="28"/>
          <w:lang w:val="en-US" w:eastAsia="zh-CN" w:bidi="ar-SA"/>
        </w:rPr>
        <w:t>检测单元的灰尘与压制机构的灰尘要求每班次进行清理，用设备风枪吹掉浮沉即可。</w:t>
      </w:r>
    </w:p>
    <w:p w14:paraId="32A65210">
      <w:pPr>
        <w:autoSpaceDE/>
        <w:autoSpaceDN/>
        <w:spacing w:line="360" w:lineRule="auto"/>
        <w:ind w:firstLine="440" w:firstLineChars="200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5149215" cy="2096135"/>
            <wp:effectExtent l="0" t="0" r="1905" b="698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149654" cy="209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F1B1E">
      <w:pPr>
        <w:autoSpaceDE/>
        <w:autoSpaceDN/>
        <w:spacing w:line="360" w:lineRule="auto"/>
        <w:ind w:firstLine="480" w:firstLineChars="200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35FDCE9D">
      <w:pPr>
        <w:autoSpaceDE/>
        <w:autoSpaceDN/>
        <w:spacing w:line="360" w:lineRule="auto"/>
        <w:ind w:firstLine="480" w:firstLineChars="200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72984989">
      <w:pPr>
        <w:autoSpaceDE/>
        <w:autoSpaceDN/>
        <w:spacing w:line="360" w:lineRule="auto"/>
        <w:ind w:firstLine="480" w:firstLineChars="200"/>
        <w:jc w:val="center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2327BE91">
      <w:pPr>
        <w:autoSpaceDE/>
        <w:autoSpaceDN/>
        <w:spacing w:line="360" w:lineRule="auto"/>
        <w:jc w:val="both"/>
        <w:outlineLvl w:val="2"/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</w:pP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2.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3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 xml:space="preserve"> 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传感器</w:t>
      </w:r>
    </w:p>
    <w:p w14:paraId="622034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Theme="majorEastAsia" w:hAnsiTheme="majorEastAsia" w:eastAsiaTheme="majorEastAsia" w:cstheme="majorEastAsia"/>
          <w:b w:val="0"/>
          <w:bCs/>
          <w:kern w:val="2"/>
          <w:sz w:val="28"/>
          <w:szCs w:val="28"/>
          <w:lang w:val="en-US" w:eastAsia="zh-CN" w:bidi="ar-SA"/>
        </w:rPr>
        <w:t>传感器真空过滤棉及防护膜要求每月进行一次更换，以确保传感器正常工作</w:t>
      </w:r>
    </w:p>
    <w:p w14:paraId="13AD4C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/>
          <w:kern w:val="2"/>
          <w:sz w:val="28"/>
          <w:szCs w:val="28"/>
          <w:lang w:val="en-US" w:eastAsia="zh-CN" w:bidi="ar-SA"/>
        </w:rPr>
      </w:pPr>
    </w:p>
    <w:p w14:paraId="62989B89">
      <w:pPr>
        <w:autoSpaceDE/>
        <w:autoSpaceDN/>
        <w:spacing w:line="360" w:lineRule="auto"/>
        <w:jc w:val="both"/>
        <w:outlineLvl w:val="2"/>
        <w:rPr>
          <w:rFonts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</w:pP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</w:t>
      </w:r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bidi="ar-SA"/>
        </w:rPr>
        <w:t>.3 润滑保养</w:t>
      </w:r>
    </w:p>
    <w:p w14:paraId="7FB2F199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8"/>
          <w:szCs w:val="28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bidi="ar-SA"/>
        </w:rPr>
        <w:t>定期对运动部件（如轴承、齿轮齿条、直线导轨等）进行润滑保养，</w:t>
      </w:r>
      <w:r>
        <w:rPr>
          <w:rFonts w:ascii="Calibri" w:hAnsi="Calibri" w:cs="Times New Roman"/>
          <w:kern w:val="2"/>
          <w:sz w:val="28"/>
          <w:szCs w:val="28"/>
          <w:lang w:val="en-US" w:bidi="ar-SA"/>
        </w:rPr>
        <w:t>以确保它们能够持续、高效地工作。</w:t>
      </w:r>
    </w:p>
    <w:p w14:paraId="38E48FA2">
      <w:pPr>
        <w:autoSpaceDE/>
        <w:autoSpaceDN/>
        <w:spacing w:line="360" w:lineRule="auto"/>
        <w:ind w:firstLine="560" w:firstLineChars="200"/>
        <w:jc w:val="both"/>
        <w:rPr>
          <w:rFonts w:ascii="Calibri" w:hAnsi="Calibri" w:cs="Times New Roman"/>
          <w:kern w:val="2"/>
          <w:sz w:val="21"/>
          <w:szCs w:val="24"/>
          <w:lang w:val="en-US" w:bidi="ar-SA"/>
        </w:rPr>
      </w:pPr>
      <w:r>
        <w:rPr>
          <w:rFonts w:hint="eastAsia" w:ascii="Calibri" w:hAnsi="Calibri" w:cs="Times New Roman"/>
          <w:kern w:val="2"/>
          <w:sz w:val="28"/>
          <w:szCs w:val="28"/>
          <w:lang w:val="en-US" w:eastAsia="zh-CN" w:bidi="ar-SA"/>
        </w:rPr>
        <w:t>过滤移动导轨要求每周进行一次清理，进行润滑作业（普通润滑脂）。</w:t>
      </w:r>
    </w:p>
    <w:p w14:paraId="418EF8F8">
      <w:p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4"/>
          <w:szCs w:val="24"/>
          <w:lang w:val="en-US" w:bidi="ar-SA"/>
        </w:rPr>
      </w:pPr>
      <w:r>
        <w:rPr>
          <w:lang w:val="en-US" w:bidi="ar-SA"/>
        </w:rPr>
        <w:drawing>
          <wp:inline distT="0" distB="0" distL="0" distR="0">
            <wp:extent cx="5486400" cy="2079625"/>
            <wp:effectExtent l="0" t="0" r="0" b="825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7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9C391">
      <w:p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bookmarkEnd w:id="24"/>
    <w:p w14:paraId="78DD3C64">
      <w:pPr>
        <w:keepNext/>
        <w:keepLines/>
        <w:numPr>
          <w:ilvl w:val="0"/>
          <w:numId w:val="0"/>
        </w:numPr>
        <w:spacing w:line="240" w:lineRule="auto"/>
        <w:jc w:val="both"/>
        <w:outlineLvl w:val="2"/>
        <w:rPr>
          <w:rFonts w:hint="default" w:ascii="Arial" w:hAnsi="Arial" w:eastAsia="黑体" w:cs="Times New Roman"/>
          <w:b/>
          <w:kern w:val="2"/>
          <w:sz w:val="32"/>
          <w:szCs w:val="24"/>
          <w:lang w:val="en-US" w:eastAsia="zh-CN" w:bidi="ar-SA"/>
        </w:rPr>
      </w:pPr>
      <w:r>
        <w:rPr>
          <w:rFonts w:hint="eastAsia" w:ascii="Arial" w:hAnsi="Arial" w:eastAsia="黑体" w:cs="Times New Roman"/>
          <w:b/>
          <w:kern w:val="2"/>
          <w:sz w:val="32"/>
          <w:szCs w:val="24"/>
          <w:lang w:val="en-US" w:eastAsia="zh-CN" w:bidi="ar-SA"/>
        </w:rPr>
        <w:t>4.4 电气维护保养</w:t>
      </w:r>
    </w:p>
    <w:p w14:paraId="0270D19A">
      <w:pPr>
        <w:autoSpaceDE/>
        <w:autoSpaceDN/>
        <w:spacing w:line="360" w:lineRule="auto"/>
        <w:jc w:val="both"/>
        <w:outlineLvl w:val="2"/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</w:pPr>
      <w:bookmarkStart w:id="42" w:name="_Toc13368_WPSOffice_Level2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4.4.1 维护范围</w:t>
      </w:r>
      <w:bookmarkEnd w:id="42"/>
    </w:p>
    <w:p w14:paraId="16614DFA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涵盖</w:t>
      </w:r>
      <w:r>
        <w:rPr>
          <w:rFonts w:hint="eastAsia"/>
          <w:sz w:val="28"/>
          <w:szCs w:val="28"/>
          <w:lang w:bidi="ar"/>
        </w:rPr>
        <w:t>分析仪相关</w:t>
      </w:r>
      <w:r>
        <w:rPr>
          <w:sz w:val="28"/>
          <w:szCs w:val="28"/>
          <w:lang w:bidi="ar"/>
        </w:rPr>
        <w:t>所有电气设备，包括但不限于</w:t>
      </w:r>
      <w:r>
        <w:rPr>
          <w:rFonts w:hint="eastAsia"/>
          <w:sz w:val="28"/>
          <w:szCs w:val="28"/>
          <w:lang w:bidi="ar"/>
        </w:rPr>
        <w:t>主机控制柜</w:t>
      </w:r>
      <w:r>
        <w:rPr>
          <w:sz w:val="28"/>
          <w:szCs w:val="28"/>
          <w:lang w:bidi="ar"/>
        </w:rPr>
        <w:t>、</w:t>
      </w:r>
      <w:r>
        <w:rPr>
          <w:rFonts w:hint="eastAsia"/>
          <w:sz w:val="28"/>
          <w:szCs w:val="28"/>
          <w:lang w:bidi="ar"/>
        </w:rPr>
        <w:t>进浆控制</w:t>
      </w:r>
      <w:r>
        <w:rPr>
          <w:sz w:val="28"/>
          <w:szCs w:val="28"/>
          <w:lang w:bidi="ar"/>
        </w:rPr>
        <w:t>柜、电机、配电</w:t>
      </w:r>
      <w:r>
        <w:rPr>
          <w:rFonts w:hint="eastAsia"/>
          <w:sz w:val="28"/>
          <w:szCs w:val="28"/>
          <w:lang w:bidi="ar"/>
        </w:rPr>
        <w:t>柜</w:t>
      </w:r>
      <w:r>
        <w:rPr>
          <w:sz w:val="28"/>
          <w:szCs w:val="28"/>
          <w:lang w:bidi="ar"/>
        </w:rPr>
        <w:t>、</w:t>
      </w:r>
      <w:r>
        <w:rPr>
          <w:rFonts w:hint="eastAsia"/>
          <w:sz w:val="28"/>
          <w:szCs w:val="28"/>
          <w:lang w:bidi="ar"/>
        </w:rPr>
        <w:t>伺服</w:t>
      </w:r>
      <w:r>
        <w:rPr>
          <w:sz w:val="28"/>
          <w:szCs w:val="28"/>
          <w:lang w:bidi="ar"/>
        </w:rPr>
        <w:t>系统以及各类电气控制装置。</w:t>
      </w:r>
    </w:p>
    <w:p w14:paraId="44FEE713">
      <w:pPr>
        <w:autoSpaceDE/>
        <w:autoSpaceDN/>
        <w:spacing w:line="360" w:lineRule="auto"/>
        <w:jc w:val="both"/>
        <w:outlineLvl w:val="2"/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</w:pPr>
      <w:bookmarkStart w:id="43" w:name="_Toc16252_WPSOffice_Level2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4.4.2 维护人员资质与职责</w:t>
      </w:r>
      <w:bookmarkEnd w:id="43"/>
    </w:p>
    <w:p w14:paraId="61FEC1B7">
      <w:pPr>
        <w:widowControl/>
        <w:spacing w:line="360" w:lineRule="auto"/>
        <w:ind w:left="560" w:hanging="560" w:hanging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资质要求：维护人员需具备相关电气专业知识，持有电工证，熟悉各类电气设备的操作与维护规程。</w:t>
      </w:r>
    </w:p>
    <w:p w14:paraId="1E1345F2">
      <w:pPr>
        <w:widowControl/>
        <w:spacing w:line="360" w:lineRule="auto"/>
        <w:ind w:left="560" w:hanging="560" w:hanging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职责：定期巡检设备，及时发现并处理设备异常；按照维护计划进行设备保养与维修；记录维护过程及设备运行状况。</w:t>
      </w:r>
    </w:p>
    <w:p w14:paraId="0EE9CDFE">
      <w:pPr>
        <w:autoSpaceDE/>
        <w:autoSpaceDN/>
        <w:spacing w:line="360" w:lineRule="auto"/>
        <w:jc w:val="both"/>
        <w:outlineLvl w:val="2"/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</w:pPr>
      <w:bookmarkStart w:id="44" w:name="_Toc29538_WPSOffice_Level2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4.4.3 维护计划</w:t>
      </w:r>
      <w:bookmarkEnd w:id="44"/>
    </w:p>
    <w:p w14:paraId="259412CA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日常维护：每日上班前和下班后，对设备外观进行检查，查看有无异常声响、异味、过热等现象，记录设备运行参数。</w:t>
      </w:r>
      <w:r>
        <w:rPr>
          <w:rFonts w:hint="eastAsia"/>
          <w:sz w:val="28"/>
          <w:szCs w:val="28"/>
          <w:lang w:bidi="ar"/>
        </w:rPr>
        <w:t>对电控柜或传感器等电气元件进行维护前，必须切断总电源，保证设备无电人员安全情况下进行。根据车间灰尘情况，及时清理电控柜内粉尘，保证电气元件无灰尘或矿粉。断路器、接触器、继电器、伺服驱动器等部件应倍加关注。</w:t>
      </w:r>
    </w:p>
    <w:p w14:paraId="286423E9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月度维护：每月对设备进行一次全面</w:t>
      </w:r>
      <w:r>
        <w:rPr>
          <w:rFonts w:hint="eastAsia"/>
          <w:sz w:val="28"/>
          <w:szCs w:val="28"/>
          <w:lang w:bidi="ar"/>
        </w:rPr>
        <w:t>深度</w:t>
      </w:r>
      <w:r>
        <w:rPr>
          <w:sz w:val="28"/>
          <w:szCs w:val="28"/>
          <w:lang w:bidi="ar"/>
        </w:rPr>
        <w:t>清洁，</w:t>
      </w:r>
      <w:r>
        <w:rPr>
          <w:rFonts w:hint="eastAsia"/>
          <w:sz w:val="28"/>
          <w:szCs w:val="28"/>
          <w:lang w:bidi="ar"/>
        </w:rPr>
        <w:t>对电气元件螺丝、自身卡扣等每周检测一次，确保器件牢固，无线头脱落。接触器、继电器若出现接触不良或触点不易分断情况及时更换相同型号。</w:t>
      </w:r>
    </w:p>
    <w:p w14:paraId="5DB7507D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rFonts w:hint="eastAsia"/>
          <w:sz w:val="28"/>
          <w:szCs w:val="28"/>
          <w:lang w:bidi="ar"/>
        </w:rPr>
        <w:t>电缆、电机器件应经常检查温度及绝缘情况，有破损立即更换。</w:t>
      </w:r>
    </w:p>
    <w:p w14:paraId="235BD20E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rFonts w:hint="eastAsia"/>
          <w:sz w:val="28"/>
          <w:szCs w:val="28"/>
          <w:lang w:bidi="ar"/>
        </w:rPr>
        <w:t>安全接地线是保证设备异常漏电时释放电流的作用，其牢固性、合理性非常关键，不可移除、借用、并用，保证接地电阻小于4Ω。</w:t>
      </w:r>
    </w:p>
    <w:p w14:paraId="31AD7832">
      <w:pPr>
        <w:autoSpaceDE/>
        <w:autoSpaceDN/>
        <w:spacing w:line="360" w:lineRule="auto"/>
        <w:jc w:val="both"/>
        <w:outlineLvl w:val="2"/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</w:pPr>
      <w:bookmarkStart w:id="45" w:name="_Toc9163_WPSOffice_Level2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4.4.4 维护流程</w:t>
      </w:r>
      <w:bookmarkEnd w:id="45"/>
    </w:p>
    <w:p w14:paraId="219F808D">
      <w:pPr>
        <w:widowControl/>
        <w:spacing w:line="360" w:lineRule="auto"/>
        <w:ind w:left="560" w:hanging="560" w:hanging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巡检：维护人员按照规定路线和时间进行设备巡检，填写巡检记录。</w:t>
      </w:r>
    </w:p>
    <w:p w14:paraId="7D09F0EA">
      <w:pPr>
        <w:widowControl/>
        <w:spacing w:line="360" w:lineRule="auto"/>
        <w:ind w:left="560" w:hanging="560" w:hanging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发现问题：如发现设备异常，立即停止设备运行（在安全允许的情况下），并上报上级主管。</w:t>
      </w:r>
    </w:p>
    <w:p w14:paraId="4AA0422E">
      <w:pPr>
        <w:widowControl/>
        <w:spacing w:line="360" w:lineRule="auto"/>
        <w:ind w:left="560" w:hanging="560" w:hanging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故障诊断：组织技术人员对故障进行分析，确定故障原因和维修方案。</w:t>
      </w:r>
    </w:p>
    <w:p w14:paraId="1869F448">
      <w:pPr>
        <w:widowControl/>
        <w:spacing w:line="360" w:lineRule="auto"/>
        <w:ind w:left="560" w:hanging="560" w:hanging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维修实施：维修人员按照维修方案进行维修，维修过程中严格遵守安全操作规程。</w:t>
      </w:r>
    </w:p>
    <w:p w14:paraId="517A73BF">
      <w:pPr>
        <w:widowControl/>
        <w:spacing w:line="360" w:lineRule="auto"/>
        <w:ind w:left="560" w:hanging="560" w:hanging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维修验收：维修完成后，进行设备调试，确认设备恢复正常运行后，由相关人员进行验收。</w:t>
      </w:r>
    </w:p>
    <w:p w14:paraId="6BD92BFE">
      <w:pPr>
        <w:autoSpaceDE/>
        <w:autoSpaceDN/>
        <w:spacing w:line="360" w:lineRule="auto"/>
        <w:jc w:val="both"/>
        <w:outlineLvl w:val="2"/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</w:pPr>
      <w:bookmarkStart w:id="46" w:name="_Toc1711_WPSOffice_Level2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4.4.5 维护记录</w:t>
      </w:r>
      <w:bookmarkEnd w:id="46"/>
    </w:p>
    <w:p w14:paraId="72836E3B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每次维护工作都需详细记录，包括维护时间、维护人员、维护内容、设备运行参数、发现的问题及处理结果等。维护记录需妥善保存，以备后续查阅和分析。</w:t>
      </w:r>
    </w:p>
    <w:p w14:paraId="220482DB">
      <w:pPr>
        <w:autoSpaceDE/>
        <w:autoSpaceDN/>
        <w:spacing w:line="360" w:lineRule="auto"/>
        <w:jc w:val="both"/>
        <w:outlineLvl w:val="2"/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</w:pPr>
      <w:bookmarkStart w:id="47" w:name="_Toc14426_WPSOffice_Level2"/>
      <w:r>
        <w:rPr>
          <w:rFonts w:hint="eastAsia" w:asciiTheme="majorEastAsia" w:hAnsiTheme="majorEastAsia" w:eastAsiaTheme="majorEastAsia" w:cstheme="majorEastAsia"/>
          <w:b/>
          <w:kern w:val="2"/>
          <w:sz w:val="28"/>
          <w:szCs w:val="28"/>
          <w:lang w:val="en-US" w:eastAsia="zh-CN" w:bidi="ar-SA"/>
        </w:rPr>
        <w:t>4.4.6 安全注意事项</w:t>
      </w:r>
      <w:bookmarkEnd w:id="47"/>
    </w:p>
    <w:p w14:paraId="11F3DDA0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维护人员在进行设备维护前，必须切断电源，并悬挂 “有人工作，禁止合闸” 的警示标识。</w:t>
      </w:r>
    </w:p>
    <w:p w14:paraId="70ECF5A7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严格遵守电气安全操作规程，佩戴必要的防护用品，如绝缘手套、绝缘鞋等。</w:t>
      </w:r>
    </w:p>
    <w:p w14:paraId="7F9E710E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在进行高压设备维护时，必须有专人监护。</w:t>
      </w:r>
    </w:p>
    <w:p w14:paraId="584BB338">
      <w:pPr>
        <w:widowControl/>
        <w:spacing w:line="360" w:lineRule="auto"/>
        <w:ind w:firstLine="560" w:firstLineChars="200"/>
        <w:rPr>
          <w:sz w:val="28"/>
          <w:szCs w:val="28"/>
          <w:lang w:bidi="ar"/>
        </w:rPr>
      </w:pPr>
      <w:r>
        <w:rPr>
          <w:sz w:val="28"/>
          <w:szCs w:val="28"/>
          <w:lang w:bidi="ar"/>
        </w:rPr>
        <w:t>维修现场应保持整洁，禁止堆放易燃、易爆物品。</w:t>
      </w:r>
    </w:p>
    <w:p w14:paraId="099863AD"/>
    <w:p w14:paraId="69F46EDC">
      <w:pPr>
        <w:autoSpaceDE/>
        <w:autoSpaceDN/>
        <w:spacing w:line="360" w:lineRule="auto"/>
        <w:jc w:val="center"/>
        <w:rPr>
          <w:b/>
          <w:sz w:val="21"/>
          <w:szCs w:val="21"/>
        </w:rPr>
      </w:pPr>
      <w:bookmarkStart w:id="48" w:name="_Toc12358_WPSOffice_Level2"/>
      <w:r>
        <w:rPr>
          <w:rFonts w:hint="eastAsia"/>
          <w:b/>
          <w:sz w:val="21"/>
          <w:szCs w:val="21"/>
        </w:rPr>
        <w:t>伺服故障及解决办法</w:t>
      </w:r>
      <w:bookmarkEnd w:id="48"/>
    </w:p>
    <w:tbl>
      <w:tblPr>
        <w:tblStyle w:val="18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1244"/>
        <w:gridCol w:w="2942"/>
        <w:gridCol w:w="3134"/>
      </w:tblGrid>
      <w:tr w14:paraId="1D8434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6" w:type="dxa"/>
          </w:tcPr>
          <w:p w14:paraId="492451F2">
            <w:pPr>
              <w:widowControl/>
              <w:jc w:val="center"/>
              <w:rPr>
                <w:rFonts w:ascii="Segoe UI" w:hAnsi="Segoe UI" w:eastAsia="Segoe UI" w:cs="Segoe UI"/>
                <w:b/>
                <w:color w:val="222222"/>
                <w:sz w:val="24"/>
              </w:rPr>
            </w:pPr>
            <w:r>
              <w:rPr>
                <w:rFonts w:hint="eastAsia"/>
                <w:b/>
                <w:color w:val="222222"/>
                <w:sz w:val="24"/>
                <w:lang w:bidi="ar"/>
              </w:rPr>
              <w:t>故障代码</w:t>
            </w:r>
          </w:p>
        </w:tc>
        <w:tc>
          <w:tcPr>
            <w:tcW w:w="1244" w:type="dxa"/>
          </w:tcPr>
          <w:p w14:paraId="569A1B6D">
            <w:pPr>
              <w:widowControl/>
              <w:jc w:val="center"/>
              <w:rPr>
                <w:rFonts w:ascii="Segoe UI" w:hAnsi="Segoe UI" w:eastAsia="Segoe UI" w:cs="Segoe UI"/>
                <w:b/>
                <w:color w:val="222222"/>
                <w:sz w:val="24"/>
              </w:rPr>
            </w:pPr>
            <w:r>
              <w:rPr>
                <w:rFonts w:hint="eastAsia"/>
                <w:b/>
                <w:color w:val="222222"/>
                <w:sz w:val="24"/>
                <w:lang w:bidi="ar"/>
              </w:rPr>
              <w:t>故障现象</w:t>
            </w:r>
          </w:p>
        </w:tc>
        <w:tc>
          <w:tcPr>
            <w:tcW w:w="2942" w:type="dxa"/>
          </w:tcPr>
          <w:p w14:paraId="64EBC801">
            <w:pPr>
              <w:widowControl/>
              <w:jc w:val="center"/>
              <w:rPr>
                <w:rFonts w:ascii="Segoe UI" w:hAnsi="Segoe UI" w:eastAsia="Segoe UI" w:cs="Segoe UI"/>
                <w:b/>
                <w:color w:val="222222"/>
                <w:sz w:val="24"/>
              </w:rPr>
            </w:pPr>
            <w:r>
              <w:rPr>
                <w:rFonts w:hint="eastAsia"/>
                <w:b/>
                <w:color w:val="222222"/>
                <w:sz w:val="24"/>
                <w:lang w:bidi="ar"/>
              </w:rPr>
              <w:t>可能原因</w:t>
            </w:r>
          </w:p>
        </w:tc>
        <w:tc>
          <w:tcPr>
            <w:tcW w:w="3134" w:type="dxa"/>
          </w:tcPr>
          <w:p w14:paraId="62D872AA">
            <w:pPr>
              <w:widowControl/>
              <w:jc w:val="center"/>
              <w:rPr>
                <w:rFonts w:ascii="Segoe UI" w:hAnsi="Segoe UI" w:eastAsia="Segoe UI" w:cs="Segoe UI"/>
                <w:b/>
                <w:color w:val="222222"/>
                <w:sz w:val="24"/>
              </w:rPr>
            </w:pPr>
            <w:r>
              <w:rPr>
                <w:rFonts w:hint="eastAsia"/>
                <w:b/>
                <w:color w:val="222222"/>
                <w:sz w:val="24"/>
                <w:lang w:bidi="ar"/>
              </w:rPr>
              <w:t>解决办法</w:t>
            </w:r>
          </w:p>
        </w:tc>
      </w:tr>
      <w:tr w14:paraId="41ACB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5" w:hRule="atLeast"/>
        </w:trPr>
        <w:tc>
          <w:tcPr>
            <w:tcW w:w="1526" w:type="dxa"/>
            <w:vMerge w:val="restart"/>
          </w:tcPr>
          <w:p w14:paraId="4A0DB84E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>ER.200</w:t>
            </w:r>
          </w:p>
        </w:tc>
        <w:tc>
          <w:tcPr>
            <w:tcW w:w="1244" w:type="dxa"/>
            <w:vMerge w:val="restart"/>
          </w:tcPr>
          <w:p w14:paraId="671157B0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过电流故障</w:t>
            </w:r>
          </w:p>
        </w:tc>
        <w:tc>
          <w:tcPr>
            <w:tcW w:w="2942" w:type="dxa"/>
          </w:tcPr>
          <w:p w14:paraId="7A86E7F5">
            <w:pPr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1.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伺服驱动器主电路电缆或电机主电路电缆接线错误或者接触不良</w:t>
            </w:r>
          </w:p>
        </w:tc>
        <w:tc>
          <w:tcPr>
            <w:tcW w:w="3134" w:type="dxa"/>
          </w:tcPr>
          <w:p w14:paraId="214CA6AF">
            <w:pPr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检查电缆接线，确保连接正确且接触良好，如有问题重新接线</w:t>
            </w:r>
          </w:p>
        </w:tc>
      </w:tr>
      <w:tr w14:paraId="3583CF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</w:trPr>
        <w:tc>
          <w:tcPr>
            <w:tcW w:w="1526" w:type="dxa"/>
            <w:vMerge w:val="continue"/>
          </w:tcPr>
          <w:p w14:paraId="20C70CA7">
            <w:pPr>
              <w:widowControl/>
              <w:rPr>
                <w:rFonts w:ascii="Segoe UI" w:hAnsi="Segoe UI" w:eastAsia="Segoe UI" w:cs="Segoe UI"/>
                <w:color w:val="222222"/>
                <w:sz w:val="24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46B386DD">
            <w:pPr>
              <w:widowControl/>
              <w:rPr>
                <w:color w:val="222222"/>
                <w:sz w:val="24"/>
                <w:lang w:bidi="ar"/>
              </w:rPr>
            </w:pPr>
          </w:p>
        </w:tc>
        <w:tc>
          <w:tcPr>
            <w:tcW w:w="2942" w:type="dxa"/>
          </w:tcPr>
          <w:p w14:paraId="3F09081E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2.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驱动器或电机主电路电缆内部短路或者接地短路</w:t>
            </w:r>
          </w:p>
        </w:tc>
        <w:tc>
          <w:tcPr>
            <w:tcW w:w="3134" w:type="dxa"/>
            <w:vMerge w:val="restart"/>
          </w:tcPr>
          <w:p w14:paraId="49A1C1C0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用绝缘电阻表检查电缆和电机的绝缘情况，排除短路故障，必要时更换电缆或电机</w:t>
            </w:r>
          </w:p>
        </w:tc>
      </w:tr>
      <w:tr w14:paraId="27FF6B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" w:hRule="atLeast"/>
        </w:trPr>
        <w:tc>
          <w:tcPr>
            <w:tcW w:w="1526" w:type="dxa"/>
            <w:vMerge w:val="continue"/>
          </w:tcPr>
          <w:p w14:paraId="726F0C41">
            <w:pPr>
              <w:widowControl/>
              <w:rPr>
                <w:rFonts w:ascii="Segoe UI" w:hAnsi="Segoe UI" w:eastAsia="Segoe UI" w:cs="Segoe UI"/>
                <w:color w:val="222222"/>
                <w:sz w:val="24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708240E4">
            <w:pPr>
              <w:widowControl/>
              <w:rPr>
                <w:color w:val="222222"/>
                <w:sz w:val="24"/>
                <w:lang w:bidi="ar"/>
              </w:rPr>
            </w:pPr>
          </w:p>
        </w:tc>
        <w:tc>
          <w:tcPr>
            <w:tcW w:w="2942" w:type="dxa"/>
          </w:tcPr>
          <w:p w14:paraId="6C10E0F2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3.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伺服驱动器内部短路或者接地短路</w:t>
            </w:r>
          </w:p>
        </w:tc>
        <w:tc>
          <w:tcPr>
            <w:tcW w:w="3134" w:type="dxa"/>
            <w:vMerge w:val="continue"/>
          </w:tcPr>
          <w:p w14:paraId="03099EF0">
            <w:pPr>
              <w:rPr>
                <w:color w:val="222222"/>
                <w:sz w:val="21"/>
                <w:szCs w:val="21"/>
                <w:lang w:bidi="ar"/>
              </w:rPr>
            </w:pPr>
          </w:p>
        </w:tc>
      </w:tr>
      <w:tr w14:paraId="15E4B6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0" w:hRule="atLeast"/>
        </w:trPr>
        <w:tc>
          <w:tcPr>
            <w:tcW w:w="1526" w:type="dxa"/>
            <w:vMerge w:val="continue"/>
          </w:tcPr>
          <w:p w14:paraId="265BFA9B">
            <w:pPr>
              <w:widowControl/>
              <w:rPr>
                <w:rFonts w:ascii="Segoe UI" w:hAnsi="Segoe UI" w:eastAsia="Segoe UI" w:cs="Segoe UI"/>
                <w:color w:val="222222"/>
                <w:sz w:val="24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18D53DA4">
            <w:pPr>
              <w:widowControl/>
              <w:rPr>
                <w:color w:val="222222"/>
                <w:sz w:val="24"/>
                <w:lang w:bidi="ar"/>
              </w:rPr>
            </w:pPr>
          </w:p>
        </w:tc>
        <w:tc>
          <w:tcPr>
            <w:tcW w:w="2942" w:type="dxa"/>
          </w:tcPr>
          <w:p w14:paraId="4D8A3798">
            <w:pPr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4.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伺服电机内部短路或接地短路</w:t>
            </w:r>
          </w:p>
        </w:tc>
        <w:tc>
          <w:tcPr>
            <w:tcW w:w="3134" w:type="dxa"/>
          </w:tcPr>
          <w:p w14:paraId="7B88B34E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检查伺服驱动器内部电路，如有短路损坏，联系专业维修人员或厂家进行维修</w:t>
            </w:r>
          </w:p>
        </w:tc>
      </w:tr>
      <w:tr w14:paraId="153259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</w:trPr>
        <w:tc>
          <w:tcPr>
            <w:tcW w:w="1526" w:type="dxa"/>
            <w:vMerge w:val="continue"/>
          </w:tcPr>
          <w:p w14:paraId="3B7171D6">
            <w:pPr>
              <w:widowControl/>
              <w:rPr>
                <w:rFonts w:ascii="Segoe UI" w:hAnsi="Segoe UI" w:eastAsia="Segoe UI" w:cs="Segoe UI"/>
                <w:color w:val="222222"/>
                <w:sz w:val="24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3CADBD16">
            <w:pPr>
              <w:widowControl/>
              <w:rPr>
                <w:color w:val="222222"/>
                <w:sz w:val="24"/>
                <w:lang w:bidi="ar"/>
              </w:rPr>
            </w:pPr>
          </w:p>
        </w:tc>
        <w:tc>
          <w:tcPr>
            <w:tcW w:w="2942" w:type="dxa"/>
          </w:tcPr>
          <w:p w14:paraId="0C43F968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5.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伺服电机编码器接线老化腐蚀</w:t>
            </w:r>
          </w:p>
        </w:tc>
        <w:tc>
          <w:tcPr>
            <w:tcW w:w="3134" w:type="dxa"/>
          </w:tcPr>
          <w:p w14:paraId="02E24193">
            <w:pPr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检查编码器接线，如有老化腐蚀，更换接线</w:t>
            </w:r>
          </w:p>
        </w:tc>
      </w:tr>
      <w:tr w14:paraId="38DF62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0" w:hRule="atLeast"/>
        </w:trPr>
        <w:tc>
          <w:tcPr>
            <w:tcW w:w="1526" w:type="dxa"/>
            <w:vMerge w:val="continue"/>
          </w:tcPr>
          <w:p w14:paraId="58AD53E7">
            <w:pPr>
              <w:widowControl/>
              <w:rPr>
                <w:rFonts w:ascii="Segoe UI" w:hAnsi="Segoe UI" w:eastAsia="Segoe UI" w:cs="Segoe UI"/>
                <w:color w:val="222222"/>
                <w:sz w:val="24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15571E40">
            <w:pPr>
              <w:widowControl/>
              <w:rPr>
                <w:color w:val="222222"/>
                <w:sz w:val="24"/>
                <w:lang w:bidi="ar"/>
              </w:rPr>
            </w:pPr>
          </w:p>
        </w:tc>
        <w:tc>
          <w:tcPr>
            <w:tcW w:w="2942" w:type="dxa"/>
          </w:tcPr>
          <w:p w14:paraId="6E30FCB9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6.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外接的再生泄放电阻过小或者短路</w:t>
            </w:r>
          </w:p>
        </w:tc>
        <w:tc>
          <w:tcPr>
            <w:tcW w:w="3134" w:type="dxa"/>
          </w:tcPr>
          <w:p w14:paraId="5A80BE02">
            <w:pPr>
              <w:rPr>
                <w:rFonts w:ascii="Segoe UI" w:hAnsi="Segoe UI" w:cs="Segoe UI" w:eastAsiaTheme="minorEastAsia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检查外接再生泄放电阻，确保阻值符合要求，如有短路则更换电阻</w:t>
            </w:r>
          </w:p>
        </w:tc>
      </w:tr>
      <w:tr w14:paraId="5DBDA4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1526" w:type="dxa"/>
            <w:vMerge w:val="restart"/>
          </w:tcPr>
          <w:p w14:paraId="7B876E95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>ER.400</w:t>
            </w:r>
          </w:p>
        </w:tc>
        <w:tc>
          <w:tcPr>
            <w:tcW w:w="1244" w:type="dxa"/>
            <w:vMerge w:val="restart"/>
          </w:tcPr>
          <w:p w14:paraId="7035945C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过电压故障</w:t>
            </w:r>
          </w:p>
        </w:tc>
        <w:tc>
          <w:tcPr>
            <w:tcW w:w="2942" w:type="dxa"/>
          </w:tcPr>
          <w:p w14:paraId="0FAC1DC7">
            <w:pPr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1.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伺服驱动器维修检测直流母线的电压超过了</w:t>
            </w: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 420V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或</w:t>
            </w: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 760V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以上，供电电源电压高于伺服驱动器规定的电压输入范围</w:t>
            </w:r>
          </w:p>
        </w:tc>
        <w:tc>
          <w:tcPr>
            <w:tcW w:w="3134" w:type="dxa"/>
          </w:tcPr>
          <w:p w14:paraId="08256C3B">
            <w:pPr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检查输入电源电压，确保其在驱动器规定的电压范围内，如电压过高，联系供电部门解决或使用合适的降压设备</w:t>
            </w:r>
          </w:p>
        </w:tc>
      </w:tr>
      <w:tr w14:paraId="53F6A8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0" w:hRule="atLeast"/>
        </w:trPr>
        <w:tc>
          <w:tcPr>
            <w:tcW w:w="1526" w:type="dxa"/>
            <w:vMerge w:val="continue"/>
          </w:tcPr>
          <w:p w14:paraId="5B1F6BC4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2E0B985B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27048D5D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2.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供电电源不稳定或受外部环境影响（例如受到雷击影响）</w:t>
            </w:r>
          </w:p>
        </w:tc>
        <w:tc>
          <w:tcPr>
            <w:tcW w:w="3134" w:type="dxa"/>
          </w:tcPr>
          <w:p w14:paraId="4F402954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安装稳压器或使用</w:t>
            </w: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 UPS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等设备，稳定电源供应，避免外部干扰</w:t>
            </w:r>
          </w:p>
        </w:tc>
      </w:tr>
      <w:tr w14:paraId="61C4F5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1526" w:type="dxa"/>
            <w:vMerge w:val="continue"/>
          </w:tcPr>
          <w:p w14:paraId="48F922EA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5242DA91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21EB8DF3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3.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在高电压情况下，进行大幅度的工作</w:t>
            </w:r>
          </w:p>
          <w:p w14:paraId="4E432414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3134" w:type="dxa"/>
          </w:tcPr>
          <w:p w14:paraId="18B989E4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优化工作模式，避免在高电压时进行大幅度工作，可适当调整加减速时间等参数</w:t>
            </w:r>
          </w:p>
        </w:tc>
      </w:tr>
      <w:tr w14:paraId="549777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526" w:type="dxa"/>
            <w:vMerge w:val="continue"/>
          </w:tcPr>
          <w:p w14:paraId="28C1539D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4CFDD557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28886FD1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4.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伺服驱动器的母线电压采样值存在误差</w:t>
            </w:r>
          </w:p>
          <w:p w14:paraId="700E9ABC">
            <w:pPr>
              <w:rPr>
                <w:rFonts w:ascii="Segoe UI" w:hAnsi="Segoe UI" w:cs="Segoe UI" w:eastAsiaTheme="minorEastAsia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3134" w:type="dxa"/>
          </w:tcPr>
          <w:p w14:paraId="294EA530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对伺服驱动器的母线电压采样电路进行检查和校准，如有故障，进行维修或更换相关部件</w:t>
            </w:r>
          </w:p>
        </w:tc>
      </w:tr>
      <w:tr w14:paraId="02A9CA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0" w:hRule="atLeast"/>
        </w:trPr>
        <w:tc>
          <w:tcPr>
            <w:tcW w:w="1526" w:type="dxa"/>
            <w:vMerge w:val="continue"/>
          </w:tcPr>
          <w:p w14:paraId="1617C0C3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0956DD4D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298C79D1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5.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伺服驱动器内部元器件的故障</w:t>
            </w:r>
          </w:p>
        </w:tc>
        <w:tc>
          <w:tcPr>
            <w:tcW w:w="3134" w:type="dxa"/>
          </w:tcPr>
          <w:p w14:paraId="3E6DC8F0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检查驱动器内部元器件，如电容、电阻等，如有损坏，更换故障元器件</w:t>
            </w:r>
          </w:p>
        </w:tc>
      </w:tr>
      <w:tr w14:paraId="161EEB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0" w:hRule="atLeast"/>
        </w:trPr>
        <w:tc>
          <w:tcPr>
            <w:tcW w:w="1526" w:type="dxa"/>
            <w:vMerge w:val="restart"/>
          </w:tcPr>
          <w:p w14:paraId="4401F6D7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>ER.610/620</w:t>
            </w:r>
          </w:p>
        </w:tc>
        <w:tc>
          <w:tcPr>
            <w:tcW w:w="1244" w:type="dxa"/>
            <w:vMerge w:val="restart"/>
          </w:tcPr>
          <w:p w14:paraId="29A2EE7B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过载故障</w:t>
            </w:r>
          </w:p>
        </w:tc>
        <w:tc>
          <w:tcPr>
            <w:tcW w:w="2942" w:type="dxa"/>
          </w:tcPr>
          <w:p w14:paraId="7B1439BB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1.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伺服电机连接线或编码器连接线接触不良</w:t>
            </w:r>
          </w:p>
          <w:p w14:paraId="609796C1">
            <w:pPr>
              <w:rPr>
                <w:rFonts w:ascii="Segoe UI" w:hAnsi="Segoe UI" w:cs="Segoe UI" w:eastAsiaTheme="minorEastAsia"/>
                <w:color w:val="222222"/>
                <w:sz w:val="21"/>
                <w:szCs w:val="21"/>
                <w:lang w:bidi="ar"/>
              </w:rPr>
            </w:pPr>
          </w:p>
          <w:p w14:paraId="5CB22A99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</w:p>
        </w:tc>
        <w:tc>
          <w:tcPr>
            <w:tcW w:w="3134" w:type="dxa"/>
          </w:tcPr>
          <w:p w14:paraId="3B43AD1F">
            <w:pPr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检查电机和编码器的连接线，确保连接牢固，无松动、氧化等问题，如有问题及时修复或更换连接线</w:t>
            </w:r>
          </w:p>
        </w:tc>
      </w:tr>
      <w:tr w14:paraId="7367D5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1" w:hRule="atLeast"/>
        </w:trPr>
        <w:tc>
          <w:tcPr>
            <w:tcW w:w="1526" w:type="dxa"/>
            <w:vMerge w:val="continue"/>
          </w:tcPr>
          <w:p w14:paraId="6C26CD9C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72FF4CBA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76162B14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2.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伺服电机或伺服驱动器运行超过过载保护的设定</w:t>
            </w:r>
          </w:p>
          <w:p w14:paraId="797645AF">
            <w:pPr>
              <w:rPr>
                <w:rFonts w:ascii="Segoe UI" w:hAnsi="Segoe UI" w:cs="Segoe UI" w:eastAsiaTheme="minorEastAsia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3134" w:type="dxa"/>
          </w:tcPr>
          <w:p w14:paraId="471E294C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检查伺服电机和驱动器的负载情况，合理调整负载，避免超过额定负载运行，也可适当调整过载保护设定值，但要确保在安全范围内</w:t>
            </w:r>
          </w:p>
        </w:tc>
      </w:tr>
      <w:tr w14:paraId="1994CD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0" w:hRule="atLeast"/>
        </w:trPr>
        <w:tc>
          <w:tcPr>
            <w:tcW w:w="1526" w:type="dxa"/>
            <w:vMerge w:val="continue"/>
          </w:tcPr>
          <w:p w14:paraId="11393ED2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4FA961C1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550FED2E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3.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因为机械因素（例如机械卡死、润滑不好等）导致电机无法正常运转而导致伺服器运行时负载过大</w:t>
            </w:r>
          </w:p>
        </w:tc>
        <w:tc>
          <w:tcPr>
            <w:tcW w:w="3134" w:type="dxa"/>
          </w:tcPr>
          <w:p w14:paraId="17CA0362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检查机械设备，排除机械卡死、润滑不良等问题，对机械部件进行维护和保养，确保其正常运转</w:t>
            </w:r>
          </w:p>
        </w:tc>
      </w:tr>
      <w:tr w14:paraId="06979F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5" w:hRule="atLeast"/>
        </w:trPr>
        <w:tc>
          <w:tcPr>
            <w:tcW w:w="1526" w:type="dxa"/>
            <w:vMerge w:val="restart"/>
          </w:tcPr>
          <w:p w14:paraId="4A4A3A44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>ER.101</w:t>
            </w:r>
          </w:p>
        </w:tc>
        <w:tc>
          <w:tcPr>
            <w:tcW w:w="1244" w:type="dxa"/>
            <w:vMerge w:val="restart"/>
          </w:tcPr>
          <w:p w14:paraId="2A248FCC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内部参数异常故障</w:t>
            </w:r>
          </w:p>
        </w:tc>
        <w:tc>
          <w:tcPr>
            <w:tcW w:w="2942" w:type="dxa"/>
          </w:tcPr>
          <w:p w14:paraId="42653DB8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1.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控制电源电压瞬时下降</w:t>
            </w:r>
          </w:p>
          <w:p w14:paraId="174917D9">
            <w:pPr>
              <w:rPr>
                <w:rFonts w:ascii="Segoe UI" w:hAnsi="Segoe UI" w:cs="Segoe UI" w:eastAsiaTheme="minorEastAsia"/>
                <w:color w:val="222222"/>
                <w:sz w:val="21"/>
                <w:szCs w:val="21"/>
                <w:lang w:bidi="ar"/>
              </w:rPr>
            </w:pPr>
          </w:p>
          <w:p w14:paraId="2B4ADCAE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</w:p>
        </w:tc>
        <w:tc>
          <w:tcPr>
            <w:tcW w:w="3134" w:type="dxa"/>
          </w:tcPr>
          <w:p w14:paraId="48F2EAF0">
            <w:pPr>
              <w:rPr>
                <w:rFonts w:ascii="Segoe UI" w:hAnsi="Segoe UI" w:eastAsia="Segoe UI" w:cs="Segoe UI"/>
                <w:color w:val="222222"/>
                <w:sz w:val="21"/>
                <w:szCs w:val="21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检查控制电源，确保电压稳定，可增加电源滤波器等设备，改善电源质量</w:t>
            </w:r>
          </w:p>
        </w:tc>
      </w:tr>
      <w:tr w14:paraId="2366C7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0" w:hRule="atLeast"/>
        </w:trPr>
        <w:tc>
          <w:tcPr>
            <w:tcW w:w="1526" w:type="dxa"/>
            <w:vMerge w:val="continue"/>
          </w:tcPr>
          <w:p w14:paraId="33DC40BE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5B53DD0C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188498D3">
            <w:pPr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2.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参数写入过程中电源被切断</w:t>
            </w:r>
          </w:p>
          <w:p w14:paraId="67913A25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3134" w:type="dxa"/>
          </w:tcPr>
          <w:p w14:paraId="3BA27AF6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在参数写入时，确保电源稳定，避免突然断电，可使用</w:t>
            </w: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 UPS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等备用电源</w:t>
            </w:r>
          </w:p>
        </w:tc>
      </w:tr>
      <w:tr w14:paraId="424E64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1526" w:type="dxa"/>
            <w:vMerge w:val="continue"/>
          </w:tcPr>
          <w:p w14:paraId="272DC5F5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2BF4E970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56ECE8C9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3.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一定时间内参数的写入次数超过了最大值</w:t>
            </w:r>
          </w:p>
          <w:p w14:paraId="3EA00A47">
            <w:pPr>
              <w:rPr>
                <w:rFonts w:ascii="Segoe UI" w:hAnsi="Segoe UI" w:cs="Segoe UI" w:eastAsiaTheme="minorEastAsia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3134" w:type="dxa"/>
          </w:tcPr>
          <w:p w14:paraId="09BFC2D6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检查参数写入的频率和方式，避免频繁写入参数，如需大量写入参数，可分批进行</w:t>
            </w:r>
          </w:p>
        </w:tc>
      </w:tr>
      <w:tr w14:paraId="090EBB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1526" w:type="dxa"/>
            <w:vMerge w:val="continue"/>
          </w:tcPr>
          <w:p w14:paraId="5DBA2C83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64E962C4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048C77CF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4.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因为接地及静电等噪音产生了误动作</w:t>
            </w:r>
          </w:p>
          <w:p w14:paraId="41DF7927">
            <w:pPr>
              <w:widowControl/>
              <w:rPr>
                <w:rFonts w:ascii="Segoe UI" w:hAnsi="Segoe UI" w:cs="Segoe UI" w:eastAsiaTheme="minorEastAsia"/>
                <w:color w:val="222222"/>
                <w:sz w:val="21"/>
                <w:szCs w:val="21"/>
                <w:lang w:bidi="ar"/>
              </w:rPr>
            </w:pPr>
          </w:p>
          <w:p w14:paraId="1B589620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br w:type="textWrapping"/>
            </w: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5.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气体、水汽或者切削润滑油进入伺服驱动器内部导致内部元器件发生故障</w:t>
            </w:r>
          </w:p>
          <w:p w14:paraId="5C77D9B2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3134" w:type="dxa"/>
          </w:tcPr>
          <w:p w14:paraId="147DE454">
            <w:pPr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做好设备的接地工作，采用屏蔽线等措施，减少静电和噪音干扰</w:t>
            </w:r>
          </w:p>
          <w:p w14:paraId="49B2BFB4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br w:type="textWrapping"/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对伺服驱动器进行清洁和防护，避免气体、水汽等进导致内部元器件发生故障</w:t>
            </w:r>
          </w:p>
          <w:p w14:paraId="62B9DD56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</w:tr>
      <w:tr w14:paraId="4AA1EE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2" w:hRule="atLeast"/>
        </w:trPr>
        <w:tc>
          <w:tcPr>
            <w:tcW w:w="1526" w:type="dxa"/>
            <w:vMerge w:val="continue"/>
          </w:tcPr>
          <w:p w14:paraId="058AE594">
            <w:pPr>
              <w:widowControl/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1244" w:type="dxa"/>
            <w:vMerge w:val="continue"/>
          </w:tcPr>
          <w:p w14:paraId="062B1DB0">
            <w:pPr>
              <w:widowControl/>
              <w:rPr>
                <w:color w:val="222222"/>
                <w:sz w:val="21"/>
                <w:szCs w:val="21"/>
                <w:lang w:bidi="ar"/>
              </w:rPr>
            </w:pPr>
          </w:p>
        </w:tc>
        <w:tc>
          <w:tcPr>
            <w:tcW w:w="2942" w:type="dxa"/>
          </w:tcPr>
          <w:p w14:paraId="77C1F659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  <w:t xml:space="preserve">6. </w:t>
            </w: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伺服驱动器自身的故障</w:t>
            </w:r>
          </w:p>
        </w:tc>
        <w:tc>
          <w:tcPr>
            <w:tcW w:w="3134" w:type="dxa"/>
          </w:tcPr>
          <w:p w14:paraId="3AD4B1F6">
            <w:pPr>
              <w:rPr>
                <w:rFonts w:ascii="Segoe UI" w:hAnsi="Segoe UI" w:eastAsia="Segoe UI" w:cs="Segoe UI"/>
                <w:color w:val="222222"/>
                <w:sz w:val="21"/>
                <w:szCs w:val="21"/>
                <w:lang w:bidi="ar"/>
              </w:rPr>
            </w:pPr>
            <w:r>
              <w:rPr>
                <w:rFonts w:hint="eastAsia"/>
                <w:color w:val="222222"/>
                <w:sz w:val="21"/>
                <w:szCs w:val="21"/>
                <w:lang w:bidi="ar"/>
              </w:rPr>
              <w:t>如确定是伺服驱动器自身故障，联系汇川技术支持或专业维修人员进行维修</w:t>
            </w:r>
          </w:p>
        </w:tc>
      </w:tr>
    </w:tbl>
    <w:p w14:paraId="2343F975"/>
    <w:p w14:paraId="0B72DD0F"/>
    <w:p w14:paraId="36A57055">
      <w:pPr>
        <w:rPr>
          <w:sz w:val="24"/>
        </w:rPr>
      </w:pPr>
      <w:r>
        <w:rPr>
          <w:sz w:val="24"/>
        </w:rPr>
        <w:br w:type="page"/>
      </w:r>
    </w:p>
    <w:p w14:paraId="58D61089">
      <w:pPr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60" w:line="413" w:lineRule="auto"/>
        <w:jc w:val="both"/>
        <w:textAlignment w:val="auto"/>
        <w:outlineLvl w:val="1"/>
        <w:rPr>
          <w:rFonts w:ascii="Arial" w:hAnsi="Arial" w:eastAsia="黑体" w:cs="Times New Roman"/>
          <w:b/>
          <w:kern w:val="2"/>
          <w:sz w:val="32"/>
          <w:szCs w:val="24"/>
          <w:lang w:val="en-US" w:bidi="ar-SA"/>
        </w:rPr>
      </w:pPr>
      <w:bookmarkStart w:id="49" w:name="_Toc13526"/>
      <w:r>
        <w:rPr>
          <w:rFonts w:hint="eastAsia" w:ascii="Arial" w:hAnsi="Arial" w:eastAsia="黑体" w:cs="Times New Roman"/>
          <w:b/>
          <w:kern w:val="2"/>
          <w:sz w:val="32"/>
          <w:szCs w:val="24"/>
          <w:lang w:val="en-US" w:eastAsia="zh-CN" w:bidi="ar-SA"/>
        </w:rPr>
        <w:t>异常状态处理</w:t>
      </w:r>
      <w:bookmarkEnd w:id="49"/>
    </w:p>
    <w:p w14:paraId="050657F3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>5.1  停产状态</w:t>
      </w:r>
    </w:p>
    <w:p w14:paraId="5CED24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取样器设置在20分钟取不到样品后，将自动缩回，取样系统塔灯就会报警，需人工在指示屏上操作复位后可自动运行；</w:t>
      </w:r>
    </w:p>
    <w:p w14:paraId="519C7B64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hint="default" w:ascii="Calibri" w:hAnsi="Calibri" w:cs="Times New Roman"/>
          <w:b/>
          <w:kern w:val="2"/>
          <w:sz w:val="30"/>
          <w:szCs w:val="30"/>
          <w:lang w:val="en-US" w:eastAsia="zh-CN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>5.2  传感器信号断开</w:t>
      </w:r>
    </w:p>
    <w:p w14:paraId="257DEB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在某些特定的状态下会导致传感器光源信号丢失，需关闭系统软件，关闭光源电源，重新上电启动系统软件恢复正常；</w:t>
      </w:r>
    </w:p>
    <w:p w14:paraId="69590BEB">
      <w:pPr>
        <w:bidi w:val="0"/>
        <w:rPr>
          <w:rFonts w:hint="default"/>
          <w:lang w:val="en-US" w:eastAsia="zh-CN"/>
        </w:rPr>
      </w:pPr>
    </w:p>
    <w:p w14:paraId="3753936D">
      <w:pPr>
        <w:keepNext/>
        <w:keepLines/>
        <w:numPr>
          <w:ilvl w:val="0"/>
          <w:numId w:val="0"/>
        </w:numPr>
        <w:spacing w:before="260" w:after="260" w:line="413" w:lineRule="auto"/>
        <w:jc w:val="both"/>
        <w:outlineLvl w:val="2"/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</w:pPr>
      <w:r>
        <w:rPr>
          <w:rFonts w:hint="eastAsia" w:ascii="Calibri" w:hAnsi="Calibri" w:cs="Times New Roman"/>
          <w:b/>
          <w:kern w:val="2"/>
          <w:sz w:val="30"/>
          <w:szCs w:val="30"/>
          <w:lang w:val="en-US" w:eastAsia="zh-CN" w:bidi="ar-SA"/>
        </w:rPr>
        <w:t>5.3  报警查询</w:t>
      </w:r>
    </w:p>
    <w:p w14:paraId="21FED0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日常巡检时，如果发现系统塔灯显示黄或红，可查询软件界面的报警信息，处理相应的故障；</w:t>
      </w:r>
    </w:p>
    <w:p w14:paraId="1932B5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09D164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4AC82E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2B1685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0B95CC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3A1DCF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0ACBBE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5349FB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5F35FA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p w14:paraId="50EE2A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textAlignment w:val="auto"/>
        <w:rPr>
          <w:rFonts w:hint="eastAsia"/>
          <w:sz w:val="28"/>
          <w:szCs w:val="28"/>
          <w:lang w:val="en-US" w:eastAsia="zh-CN"/>
        </w:rPr>
      </w:pPr>
    </w:p>
    <w:bookmarkEnd w:id="18"/>
    <w:bookmarkEnd w:id="19"/>
    <w:bookmarkEnd w:id="20"/>
    <w:p w14:paraId="17500082">
      <w:p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6C677288">
      <w:pPr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60" w:line="413" w:lineRule="auto"/>
        <w:jc w:val="both"/>
        <w:textAlignment w:val="auto"/>
        <w:outlineLvl w:val="1"/>
        <w:rPr>
          <w:rFonts w:ascii="Arial" w:hAnsi="Arial" w:eastAsia="黑体" w:cs="Times New Roman"/>
          <w:b/>
          <w:kern w:val="2"/>
          <w:sz w:val="32"/>
          <w:szCs w:val="24"/>
          <w:lang w:val="en-US" w:bidi="ar-SA"/>
        </w:rPr>
      </w:pPr>
      <w:bookmarkStart w:id="50" w:name="_Toc12584"/>
      <w:r>
        <w:rPr>
          <w:rFonts w:hint="eastAsia" w:ascii="Arial" w:hAnsi="Arial" w:eastAsia="黑体" w:cs="Times New Roman"/>
          <w:b/>
          <w:kern w:val="2"/>
          <w:sz w:val="32"/>
          <w:szCs w:val="24"/>
          <w:lang w:val="en-US" w:eastAsia="zh-CN" w:bidi="ar-SA"/>
        </w:rPr>
        <w:t>培训计划</w:t>
      </w:r>
      <w:bookmarkEnd w:id="50"/>
    </w:p>
    <w:p w14:paraId="4036FB0E">
      <w:pPr>
        <w:bidi w:val="0"/>
        <w:rPr>
          <w:lang w:val="en-US"/>
        </w:rPr>
      </w:pPr>
      <w:r>
        <w:drawing>
          <wp:inline distT="0" distB="0" distL="114300" distR="114300">
            <wp:extent cx="4907280" cy="5189220"/>
            <wp:effectExtent l="9525" t="9525" r="20955" b="1333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5189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DFE5D4">
      <w:pPr>
        <w:autoSpaceDE/>
        <w:autoSpaceDN/>
        <w:spacing w:line="360" w:lineRule="auto"/>
        <w:jc w:val="both"/>
        <w:rPr>
          <w:rFonts w:ascii="Calibri" w:hAnsi="Calibri" w:cs="Times New Roman"/>
          <w:kern w:val="2"/>
          <w:sz w:val="24"/>
          <w:szCs w:val="24"/>
          <w:lang w:val="en-US" w:bidi="ar-SA"/>
        </w:rPr>
      </w:pPr>
    </w:p>
    <w:p w14:paraId="451FE7EC">
      <w:pPr>
        <w:pStyle w:val="5"/>
        <w:rPr>
          <w:b/>
          <w:sz w:val="22"/>
          <w:lang w:val="en-US"/>
        </w:rPr>
      </w:pPr>
    </w:p>
    <w:sectPr>
      <w:pgSz w:w="11910" w:h="16840"/>
      <w:pgMar w:top="1440" w:right="1800" w:bottom="1440" w:left="1800" w:header="914" w:footer="1249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Plotter">
    <w:altName w:val="Lucida Console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Lucida Console">
    <w:panose1 w:val="020B0609040504020204"/>
    <w:charset w:val="00"/>
    <w:family w:val="auto"/>
    <w:pitch w:val="default"/>
    <w:sig w:usb0="8000028F" w:usb1="00001800" w:usb2="00000000" w:usb3="00000000" w:csb0="0000001F" w:csb1="D7D7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D72BD9">
    <w:pPr>
      <w:pStyle w:val="9"/>
    </w:pPr>
    <w:r>
      <w:rPr>
        <w:lang w:val="en-US"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56A1A0">
                          <w:pPr>
                            <w:pStyle w:val="9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LQ8m0rAgAAVQ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By0PJtKwIAAFU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56A1A0">
                    <w:pPr>
                      <w:pStyle w:val="9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0BBEA0">
    <w:pPr>
      <w:pStyle w:val="9"/>
    </w:pPr>
    <w:r>
      <w:rPr>
        <w:lang w:val="en-US" w:bidi="ar-SA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365F16">
                          <w:pPr>
                            <w:pStyle w:val="9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rd1wwqAgAAVw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Mrd1wwqAgAAVw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3365F16">
                    <w:pPr>
                      <w:pStyle w:val="9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I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294143">
    <w:pPr>
      <w:pStyle w:val="5"/>
      <w:spacing w:line="14" w:lineRule="auto"/>
      <w:rPr>
        <w:sz w:val="20"/>
      </w:rPr>
    </w:pPr>
    <w:r>
      <w:rPr>
        <w:sz w:val="20"/>
        <w:lang w:val="en-US" w:bidi="ar-SA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9F5733B">
                          <w:pPr>
                            <w:pStyle w:val="9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cMibgsAgAAVQ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FwyJuC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9F5733B">
                    <w:pPr>
                      <w:pStyle w:val="9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1D386B">
    <w:pPr>
      <w:pStyle w:val="5"/>
      <w:spacing w:line="14" w:lineRule="auto"/>
      <w:rPr>
        <w:sz w:val="20"/>
      </w:rPr>
    </w:pPr>
    <w:r>
      <w:rPr>
        <w:rFonts w:ascii="Times New Roman"/>
        <w:sz w:val="20"/>
        <w:szCs w:val="28"/>
        <w:lang w:val="en-US"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-47625</wp:posOffset>
          </wp:positionH>
          <wp:positionV relativeFrom="paragraph">
            <wp:posOffset>-55245</wp:posOffset>
          </wp:positionV>
          <wp:extent cx="1666875" cy="313055"/>
          <wp:effectExtent l="0" t="0" r="0" b="0"/>
          <wp:wrapSquare wrapText="bothSides"/>
          <wp:docPr id="468081376" name="image1.png" descr="Z:\7 公司基本资料及模板\智能logo.png智能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8081376" name="image1.png" descr="Z:\7 公司基本资料及模板\智能logo.png智能logo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66875" cy="3130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11CD11">
    <w:pPr>
      <w:pStyle w:val="10"/>
    </w:pPr>
    <w:r>
      <w:rPr>
        <w:rFonts w:ascii="Times New Roman"/>
        <w:sz w:val="20"/>
        <w:szCs w:val="28"/>
        <w:lang w:val="en-US" w:bidi="ar-SA"/>
      </w:rPr>
      <w:drawing>
        <wp:inline distT="0" distB="0" distL="0" distR="0">
          <wp:extent cx="1666875" cy="313055"/>
          <wp:effectExtent l="0" t="0" r="0" b="12065"/>
          <wp:docPr id="468081377" name="image1.png" descr="Z:\7 公司基本资料及模板\智能logo.png智能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8081377" name="image1.png" descr="Z:\7 公司基本资料及模板\智能logo.png智能logo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67372" cy="3130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61AE55C"/>
    <w:multiLevelType w:val="singleLevel"/>
    <w:tmpl w:val="861AE55C"/>
    <w:lvl w:ilvl="0" w:tentative="0">
      <w:start w:val="1"/>
      <w:numFmt w:val="decimal"/>
      <w:lvlText w:val="（%1）"/>
      <w:lvlJc w:val="left"/>
      <w:pPr>
        <w:ind w:left="420" w:hanging="420"/>
      </w:pPr>
    </w:lvl>
  </w:abstractNum>
  <w:abstractNum w:abstractNumId="1">
    <w:nsid w:val="ECA732CD"/>
    <w:multiLevelType w:val="singleLevel"/>
    <w:tmpl w:val="ECA732CD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2">
    <w:nsid w:val="14BC216D"/>
    <w:multiLevelType w:val="singleLevel"/>
    <w:tmpl w:val="14BC216D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1E8EF43B"/>
    <w:multiLevelType w:val="singleLevel"/>
    <w:tmpl w:val="1E8EF43B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4">
    <w:nsid w:val="21A11DEB"/>
    <w:multiLevelType w:val="singleLevel"/>
    <w:tmpl w:val="21A11DEB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269876A5"/>
    <w:multiLevelType w:val="singleLevel"/>
    <w:tmpl w:val="269876A5"/>
    <w:lvl w:ilvl="0" w:tentative="0">
      <w:start w:val="1"/>
      <w:numFmt w:val="decimal"/>
      <w:suff w:val="space"/>
      <w:lvlText w:val="(%1)"/>
      <w:lvlJc w:val="left"/>
      <w:pPr>
        <w:ind w:left="425" w:hanging="425"/>
      </w:pPr>
      <w:rPr>
        <w:rFonts w:hint="default"/>
        <w:b w:val="0"/>
        <w:bCs w:val="0"/>
      </w:rPr>
    </w:lvl>
  </w:abstractNum>
  <w:abstractNum w:abstractNumId="6">
    <w:nsid w:val="541FE054"/>
    <w:multiLevelType w:val="singleLevel"/>
    <w:tmpl w:val="541FE054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56432157"/>
    <w:multiLevelType w:val="singleLevel"/>
    <w:tmpl w:val="56432157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8">
    <w:nsid w:val="63324D84"/>
    <w:multiLevelType w:val="singleLevel"/>
    <w:tmpl w:val="63324D84"/>
    <w:lvl w:ilvl="0" w:tentative="0">
      <w:start w:val="1"/>
      <w:numFmt w:val="decimal"/>
      <w:lvlText w:val="（%1）"/>
      <w:lvlJc w:val="left"/>
      <w:pPr>
        <w:ind w:left="420" w:hanging="420"/>
      </w:pPr>
    </w:lvl>
  </w:abstractNum>
  <w:abstractNum w:abstractNumId="9">
    <w:nsid w:val="69755EBB"/>
    <w:multiLevelType w:val="singleLevel"/>
    <w:tmpl w:val="69755EBB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9"/>
  </w:num>
  <w:num w:numId="2">
    <w:abstractNumId w:val="4"/>
  </w:num>
  <w:num w:numId="3">
    <w:abstractNumId w:val="5"/>
  </w:num>
  <w:num w:numId="4">
    <w:abstractNumId w:val="6"/>
  </w:num>
  <w:num w:numId="5">
    <w:abstractNumId w:val="0"/>
  </w:num>
  <w:num w:numId="6">
    <w:abstractNumId w:val="2"/>
  </w:num>
  <w:num w:numId="7">
    <w:abstractNumId w:val="8"/>
  </w:num>
  <w:num w:numId="8">
    <w:abstractNumId w:val="1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YyMjdjY2VkMWFjNDhhZTRkMGExYmE4OGFmZTYwYTcifQ=="/>
  </w:docVars>
  <w:rsids>
    <w:rsidRoot w:val="00A519D1"/>
    <w:rsid w:val="0001374E"/>
    <w:rsid w:val="00016AE2"/>
    <w:rsid w:val="00037976"/>
    <w:rsid w:val="000404FC"/>
    <w:rsid w:val="000A05CE"/>
    <w:rsid w:val="000B2F4E"/>
    <w:rsid w:val="000C3D76"/>
    <w:rsid w:val="000D1B3D"/>
    <w:rsid w:val="000F26F3"/>
    <w:rsid w:val="000F31FE"/>
    <w:rsid w:val="00106E35"/>
    <w:rsid w:val="0010781C"/>
    <w:rsid w:val="00114423"/>
    <w:rsid w:val="00136BD3"/>
    <w:rsid w:val="00150034"/>
    <w:rsid w:val="001525AF"/>
    <w:rsid w:val="0016479B"/>
    <w:rsid w:val="0016706F"/>
    <w:rsid w:val="001727EC"/>
    <w:rsid w:val="00180776"/>
    <w:rsid w:val="00190379"/>
    <w:rsid w:val="001924FA"/>
    <w:rsid w:val="001A1FFA"/>
    <w:rsid w:val="001B2596"/>
    <w:rsid w:val="002444F2"/>
    <w:rsid w:val="00244CCA"/>
    <w:rsid w:val="00261FBA"/>
    <w:rsid w:val="00267D7B"/>
    <w:rsid w:val="002B0215"/>
    <w:rsid w:val="002B717F"/>
    <w:rsid w:val="002C3866"/>
    <w:rsid w:val="002D641C"/>
    <w:rsid w:val="002E1398"/>
    <w:rsid w:val="002F0C18"/>
    <w:rsid w:val="00303E86"/>
    <w:rsid w:val="00334932"/>
    <w:rsid w:val="0034054F"/>
    <w:rsid w:val="0034537F"/>
    <w:rsid w:val="00363064"/>
    <w:rsid w:val="003A0874"/>
    <w:rsid w:val="003A4DB8"/>
    <w:rsid w:val="003A62FD"/>
    <w:rsid w:val="003B0423"/>
    <w:rsid w:val="003B57ED"/>
    <w:rsid w:val="003C4312"/>
    <w:rsid w:val="003F23CE"/>
    <w:rsid w:val="00403407"/>
    <w:rsid w:val="00415BAA"/>
    <w:rsid w:val="00420E7B"/>
    <w:rsid w:val="004357CA"/>
    <w:rsid w:val="00443516"/>
    <w:rsid w:val="004578CF"/>
    <w:rsid w:val="004978F3"/>
    <w:rsid w:val="004B13A3"/>
    <w:rsid w:val="004D06D6"/>
    <w:rsid w:val="004D146D"/>
    <w:rsid w:val="004E31D6"/>
    <w:rsid w:val="004F273D"/>
    <w:rsid w:val="005136AB"/>
    <w:rsid w:val="005373C3"/>
    <w:rsid w:val="005752EB"/>
    <w:rsid w:val="00577782"/>
    <w:rsid w:val="0057798F"/>
    <w:rsid w:val="005A40B8"/>
    <w:rsid w:val="005B23A3"/>
    <w:rsid w:val="005B3118"/>
    <w:rsid w:val="005B4BC4"/>
    <w:rsid w:val="005C07F3"/>
    <w:rsid w:val="005D32CF"/>
    <w:rsid w:val="00601C09"/>
    <w:rsid w:val="00611110"/>
    <w:rsid w:val="00611705"/>
    <w:rsid w:val="00624882"/>
    <w:rsid w:val="00636B6B"/>
    <w:rsid w:val="00696CFA"/>
    <w:rsid w:val="006F43CE"/>
    <w:rsid w:val="0071247B"/>
    <w:rsid w:val="00730628"/>
    <w:rsid w:val="0074171F"/>
    <w:rsid w:val="007421FE"/>
    <w:rsid w:val="00777CE1"/>
    <w:rsid w:val="00787D42"/>
    <w:rsid w:val="007926CC"/>
    <w:rsid w:val="007A0CCF"/>
    <w:rsid w:val="007A5721"/>
    <w:rsid w:val="007A710D"/>
    <w:rsid w:val="007B70B3"/>
    <w:rsid w:val="007C1461"/>
    <w:rsid w:val="008003AA"/>
    <w:rsid w:val="00822C58"/>
    <w:rsid w:val="008A2DC6"/>
    <w:rsid w:val="008E1601"/>
    <w:rsid w:val="008E1DF7"/>
    <w:rsid w:val="008E2A0E"/>
    <w:rsid w:val="008E33BC"/>
    <w:rsid w:val="008F5EC9"/>
    <w:rsid w:val="0095473F"/>
    <w:rsid w:val="0096246D"/>
    <w:rsid w:val="0097202B"/>
    <w:rsid w:val="00977BF8"/>
    <w:rsid w:val="009866A2"/>
    <w:rsid w:val="009A32EC"/>
    <w:rsid w:val="009B5FA5"/>
    <w:rsid w:val="009C2596"/>
    <w:rsid w:val="009C3811"/>
    <w:rsid w:val="009E5D80"/>
    <w:rsid w:val="009F5CA8"/>
    <w:rsid w:val="00A232F8"/>
    <w:rsid w:val="00A2582B"/>
    <w:rsid w:val="00A31647"/>
    <w:rsid w:val="00A519D1"/>
    <w:rsid w:val="00A70CB5"/>
    <w:rsid w:val="00A765FC"/>
    <w:rsid w:val="00AF67A5"/>
    <w:rsid w:val="00B00BD6"/>
    <w:rsid w:val="00B01E47"/>
    <w:rsid w:val="00B056B6"/>
    <w:rsid w:val="00B05AA3"/>
    <w:rsid w:val="00B2034E"/>
    <w:rsid w:val="00B211A5"/>
    <w:rsid w:val="00B25D73"/>
    <w:rsid w:val="00B271D3"/>
    <w:rsid w:val="00B37CC2"/>
    <w:rsid w:val="00B531E4"/>
    <w:rsid w:val="00B95CDD"/>
    <w:rsid w:val="00BA5F43"/>
    <w:rsid w:val="00BB5E7E"/>
    <w:rsid w:val="00BB6CD6"/>
    <w:rsid w:val="00BC4DB2"/>
    <w:rsid w:val="00BC5F06"/>
    <w:rsid w:val="00C14254"/>
    <w:rsid w:val="00C2472C"/>
    <w:rsid w:val="00C528D4"/>
    <w:rsid w:val="00C7029E"/>
    <w:rsid w:val="00C763D8"/>
    <w:rsid w:val="00C869FC"/>
    <w:rsid w:val="00CB5C4C"/>
    <w:rsid w:val="00CD3CDB"/>
    <w:rsid w:val="00CE3E37"/>
    <w:rsid w:val="00CE411F"/>
    <w:rsid w:val="00D11B8D"/>
    <w:rsid w:val="00D124D0"/>
    <w:rsid w:val="00D41814"/>
    <w:rsid w:val="00D5716C"/>
    <w:rsid w:val="00D6145D"/>
    <w:rsid w:val="00D63208"/>
    <w:rsid w:val="00D81EF1"/>
    <w:rsid w:val="00D828FA"/>
    <w:rsid w:val="00DA2EA8"/>
    <w:rsid w:val="00DA5E3B"/>
    <w:rsid w:val="00DC0947"/>
    <w:rsid w:val="00DC7FC8"/>
    <w:rsid w:val="00DD7BB7"/>
    <w:rsid w:val="00E15D5B"/>
    <w:rsid w:val="00E44F8E"/>
    <w:rsid w:val="00E50E44"/>
    <w:rsid w:val="00E70614"/>
    <w:rsid w:val="00E74A09"/>
    <w:rsid w:val="00E92241"/>
    <w:rsid w:val="00E957BF"/>
    <w:rsid w:val="00EA5753"/>
    <w:rsid w:val="00EE027B"/>
    <w:rsid w:val="00EE4536"/>
    <w:rsid w:val="00EE684B"/>
    <w:rsid w:val="00EF39F3"/>
    <w:rsid w:val="00F03184"/>
    <w:rsid w:val="00F10BEE"/>
    <w:rsid w:val="00F22DA7"/>
    <w:rsid w:val="00F27AFF"/>
    <w:rsid w:val="00F308C4"/>
    <w:rsid w:val="00F309A4"/>
    <w:rsid w:val="00F32536"/>
    <w:rsid w:val="00F75EAA"/>
    <w:rsid w:val="00F7624B"/>
    <w:rsid w:val="00F80338"/>
    <w:rsid w:val="00F83711"/>
    <w:rsid w:val="00FB6029"/>
    <w:rsid w:val="00FC0E6D"/>
    <w:rsid w:val="00FC7CAC"/>
    <w:rsid w:val="00FD1A46"/>
    <w:rsid w:val="00FE029D"/>
    <w:rsid w:val="00FF605D"/>
    <w:rsid w:val="00FF7CB6"/>
    <w:rsid w:val="01011432"/>
    <w:rsid w:val="010F3B4F"/>
    <w:rsid w:val="01323CE1"/>
    <w:rsid w:val="013B79DF"/>
    <w:rsid w:val="013C690E"/>
    <w:rsid w:val="01761E20"/>
    <w:rsid w:val="0183453D"/>
    <w:rsid w:val="01E0649E"/>
    <w:rsid w:val="01EE7C08"/>
    <w:rsid w:val="02290C40"/>
    <w:rsid w:val="02353A89"/>
    <w:rsid w:val="026659F0"/>
    <w:rsid w:val="02783976"/>
    <w:rsid w:val="02793448"/>
    <w:rsid w:val="028C11CF"/>
    <w:rsid w:val="02B349AE"/>
    <w:rsid w:val="02F32FFC"/>
    <w:rsid w:val="03031491"/>
    <w:rsid w:val="03305FFE"/>
    <w:rsid w:val="033E4BBF"/>
    <w:rsid w:val="03402B33"/>
    <w:rsid w:val="03483348"/>
    <w:rsid w:val="034D095E"/>
    <w:rsid w:val="034D6BB0"/>
    <w:rsid w:val="03773C2D"/>
    <w:rsid w:val="03832045"/>
    <w:rsid w:val="03863E70"/>
    <w:rsid w:val="039E11BA"/>
    <w:rsid w:val="03A03184"/>
    <w:rsid w:val="03F1578E"/>
    <w:rsid w:val="04025BED"/>
    <w:rsid w:val="041F054D"/>
    <w:rsid w:val="0422003D"/>
    <w:rsid w:val="042E69E2"/>
    <w:rsid w:val="04351B1E"/>
    <w:rsid w:val="043D6C25"/>
    <w:rsid w:val="04561939"/>
    <w:rsid w:val="046917C8"/>
    <w:rsid w:val="04787C5D"/>
    <w:rsid w:val="048B7990"/>
    <w:rsid w:val="04A62A1C"/>
    <w:rsid w:val="04AD224F"/>
    <w:rsid w:val="04BA26F3"/>
    <w:rsid w:val="04BF588C"/>
    <w:rsid w:val="04C904B8"/>
    <w:rsid w:val="04F03C97"/>
    <w:rsid w:val="04FD1E14"/>
    <w:rsid w:val="050F5ABF"/>
    <w:rsid w:val="051C4A8C"/>
    <w:rsid w:val="052B4CCF"/>
    <w:rsid w:val="0530521E"/>
    <w:rsid w:val="05542478"/>
    <w:rsid w:val="05760640"/>
    <w:rsid w:val="05A97546"/>
    <w:rsid w:val="05AD7DDA"/>
    <w:rsid w:val="05D0614D"/>
    <w:rsid w:val="05DC421B"/>
    <w:rsid w:val="05FE6CE9"/>
    <w:rsid w:val="06101820"/>
    <w:rsid w:val="06172816"/>
    <w:rsid w:val="0627193B"/>
    <w:rsid w:val="06652463"/>
    <w:rsid w:val="067508F8"/>
    <w:rsid w:val="06783F44"/>
    <w:rsid w:val="0687687D"/>
    <w:rsid w:val="06B47A78"/>
    <w:rsid w:val="06E5236E"/>
    <w:rsid w:val="06FA0DFD"/>
    <w:rsid w:val="06FC6923"/>
    <w:rsid w:val="070B6B66"/>
    <w:rsid w:val="071163A2"/>
    <w:rsid w:val="074B78AB"/>
    <w:rsid w:val="074D22E3"/>
    <w:rsid w:val="076646E5"/>
    <w:rsid w:val="07666493"/>
    <w:rsid w:val="076B5857"/>
    <w:rsid w:val="07AC3D93"/>
    <w:rsid w:val="07AD5E6F"/>
    <w:rsid w:val="07B51763"/>
    <w:rsid w:val="07E6312F"/>
    <w:rsid w:val="0822685D"/>
    <w:rsid w:val="0831084F"/>
    <w:rsid w:val="083B347B"/>
    <w:rsid w:val="086C1887"/>
    <w:rsid w:val="08800C7C"/>
    <w:rsid w:val="08A234FA"/>
    <w:rsid w:val="08B55224"/>
    <w:rsid w:val="08D00067"/>
    <w:rsid w:val="08D86F1C"/>
    <w:rsid w:val="08F17FDE"/>
    <w:rsid w:val="08FA4B99"/>
    <w:rsid w:val="08FF0187"/>
    <w:rsid w:val="09120680"/>
    <w:rsid w:val="091837BC"/>
    <w:rsid w:val="091E20AA"/>
    <w:rsid w:val="0924008E"/>
    <w:rsid w:val="093920B1"/>
    <w:rsid w:val="095664BF"/>
    <w:rsid w:val="096603D4"/>
    <w:rsid w:val="098D5F59"/>
    <w:rsid w:val="09931095"/>
    <w:rsid w:val="09A3577C"/>
    <w:rsid w:val="09C3197A"/>
    <w:rsid w:val="09CF47C3"/>
    <w:rsid w:val="09DB3168"/>
    <w:rsid w:val="09DB4F16"/>
    <w:rsid w:val="09E10052"/>
    <w:rsid w:val="09EF6C13"/>
    <w:rsid w:val="0A026946"/>
    <w:rsid w:val="0A222B45"/>
    <w:rsid w:val="0A2A37A7"/>
    <w:rsid w:val="0A402FCB"/>
    <w:rsid w:val="0A4C5E14"/>
    <w:rsid w:val="0A79472F"/>
    <w:rsid w:val="0AB539B9"/>
    <w:rsid w:val="0AFA5870"/>
    <w:rsid w:val="0B2428ED"/>
    <w:rsid w:val="0B422D73"/>
    <w:rsid w:val="0B6158EF"/>
    <w:rsid w:val="0B636A1E"/>
    <w:rsid w:val="0B6D5629"/>
    <w:rsid w:val="0B860EB1"/>
    <w:rsid w:val="0BAC41E4"/>
    <w:rsid w:val="0BAF665A"/>
    <w:rsid w:val="0BC33EB3"/>
    <w:rsid w:val="0BD51E39"/>
    <w:rsid w:val="0BD55995"/>
    <w:rsid w:val="0BE8391A"/>
    <w:rsid w:val="0BF4406D"/>
    <w:rsid w:val="0C1A784C"/>
    <w:rsid w:val="0C2B3807"/>
    <w:rsid w:val="0C2C0A13"/>
    <w:rsid w:val="0C405504"/>
    <w:rsid w:val="0C4072B2"/>
    <w:rsid w:val="0C41127C"/>
    <w:rsid w:val="0C424FDC"/>
    <w:rsid w:val="0C564D28"/>
    <w:rsid w:val="0C670CE3"/>
    <w:rsid w:val="0C7927C4"/>
    <w:rsid w:val="0C7B02EA"/>
    <w:rsid w:val="0C803B53"/>
    <w:rsid w:val="0CDE6ACB"/>
    <w:rsid w:val="0D246BD2"/>
    <w:rsid w:val="0D3B3F1D"/>
    <w:rsid w:val="0D735465"/>
    <w:rsid w:val="0DA35876"/>
    <w:rsid w:val="0DB25F8E"/>
    <w:rsid w:val="0DB461AA"/>
    <w:rsid w:val="0DC12675"/>
    <w:rsid w:val="0DD8176C"/>
    <w:rsid w:val="0DE15319"/>
    <w:rsid w:val="0DE37D76"/>
    <w:rsid w:val="0DE67CFA"/>
    <w:rsid w:val="0DFD060A"/>
    <w:rsid w:val="0E230C39"/>
    <w:rsid w:val="0E6A6868"/>
    <w:rsid w:val="0E6C0832"/>
    <w:rsid w:val="0E9C279A"/>
    <w:rsid w:val="0EAF4BC3"/>
    <w:rsid w:val="0EB65F51"/>
    <w:rsid w:val="0ED10695"/>
    <w:rsid w:val="0ED71FEE"/>
    <w:rsid w:val="0ED72FEF"/>
    <w:rsid w:val="0EDD37C3"/>
    <w:rsid w:val="0EEA1757"/>
    <w:rsid w:val="0EFB04D5"/>
    <w:rsid w:val="0F1113DA"/>
    <w:rsid w:val="0F134C17"/>
    <w:rsid w:val="0F16079E"/>
    <w:rsid w:val="0F5D7C7F"/>
    <w:rsid w:val="0F6E2388"/>
    <w:rsid w:val="0F9D2C6D"/>
    <w:rsid w:val="0FB13ED8"/>
    <w:rsid w:val="0FB35FED"/>
    <w:rsid w:val="0FC0389B"/>
    <w:rsid w:val="0FC1070A"/>
    <w:rsid w:val="102F7D69"/>
    <w:rsid w:val="10EC17B7"/>
    <w:rsid w:val="10EC5C5A"/>
    <w:rsid w:val="11196324"/>
    <w:rsid w:val="112371A2"/>
    <w:rsid w:val="115F467E"/>
    <w:rsid w:val="117874EE"/>
    <w:rsid w:val="118045F5"/>
    <w:rsid w:val="118E6D12"/>
    <w:rsid w:val="12045226"/>
    <w:rsid w:val="12575356"/>
    <w:rsid w:val="12942106"/>
    <w:rsid w:val="1299596E"/>
    <w:rsid w:val="12A83E03"/>
    <w:rsid w:val="12CD386A"/>
    <w:rsid w:val="12EC1F42"/>
    <w:rsid w:val="12EF3D16"/>
    <w:rsid w:val="13257202"/>
    <w:rsid w:val="133B6A25"/>
    <w:rsid w:val="13737F6D"/>
    <w:rsid w:val="137D703E"/>
    <w:rsid w:val="1380268A"/>
    <w:rsid w:val="13916645"/>
    <w:rsid w:val="13C22CA3"/>
    <w:rsid w:val="13C702B9"/>
    <w:rsid w:val="13C94031"/>
    <w:rsid w:val="13D44784"/>
    <w:rsid w:val="13F217DA"/>
    <w:rsid w:val="13FF7A53"/>
    <w:rsid w:val="142E0338"/>
    <w:rsid w:val="143D67CD"/>
    <w:rsid w:val="144D6A10"/>
    <w:rsid w:val="14535FF1"/>
    <w:rsid w:val="14700951"/>
    <w:rsid w:val="14733F9D"/>
    <w:rsid w:val="1485084F"/>
    <w:rsid w:val="14997EA7"/>
    <w:rsid w:val="149E726C"/>
    <w:rsid w:val="14AA276F"/>
    <w:rsid w:val="14B20F69"/>
    <w:rsid w:val="14B22D17"/>
    <w:rsid w:val="14B46A8F"/>
    <w:rsid w:val="14C12F5A"/>
    <w:rsid w:val="14C667C2"/>
    <w:rsid w:val="14CA0061"/>
    <w:rsid w:val="14D64C58"/>
    <w:rsid w:val="14EE76B0"/>
    <w:rsid w:val="14F21366"/>
    <w:rsid w:val="14F273AE"/>
    <w:rsid w:val="14FE7D0A"/>
    <w:rsid w:val="15086DDB"/>
    <w:rsid w:val="151412DC"/>
    <w:rsid w:val="152A4FA3"/>
    <w:rsid w:val="15311E8E"/>
    <w:rsid w:val="1573694A"/>
    <w:rsid w:val="159348F7"/>
    <w:rsid w:val="1594241D"/>
    <w:rsid w:val="15B66837"/>
    <w:rsid w:val="15DF7B3C"/>
    <w:rsid w:val="15E15DC0"/>
    <w:rsid w:val="160042E7"/>
    <w:rsid w:val="160457F4"/>
    <w:rsid w:val="164D0F49"/>
    <w:rsid w:val="16504596"/>
    <w:rsid w:val="165B2F3A"/>
    <w:rsid w:val="16663DB9"/>
    <w:rsid w:val="16877BAC"/>
    <w:rsid w:val="168D3A3C"/>
    <w:rsid w:val="1695469E"/>
    <w:rsid w:val="16B54D41"/>
    <w:rsid w:val="16CB4564"/>
    <w:rsid w:val="16E42F30"/>
    <w:rsid w:val="16FE0496"/>
    <w:rsid w:val="17017F86"/>
    <w:rsid w:val="17163A31"/>
    <w:rsid w:val="17343EB7"/>
    <w:rsid w:val="174165D4"/>
    <w:rsid w:val="175B58E8"/>
    <w:rsid w:val="17654071"/>
    <w:rsid w:val="177E15D6"/>
    <w:rsid w:val="17B2302E"/>
    <w:rsid w:val="17D336D0"/>
    <w:rsid w:val="17D47448"/>
    <w:rsid w:val="17D631C0"/>
    <w:rsid w:val="18294C4F"/>
    <w:rsid w:val="185D11EC"/>
    <w:rsid w:val="189A2440"/>
    <w:rsid w:val="18A4401E"/>
    <w:rsid w:val="18A961DF"/>
    <w:rsid w:val="18D47700"/>
    <w:rsid w:val="18E5610C"/>
    <w:rsid w:val="18FD12A7"/>
    <w:rsid w:val="192B12EA"/>
    <w:rsid w:val="195C5947"/>
    <w:rsid w:val="196F11D7"/>
    <w:rsid w:val="19866520"/>
    <w:rsid w:val="198D5B01"/>
    <w:rsid w:val="19962C07"/>
    <w:rsid w:val="19DC4392"/>
    <w:rsid w:val="1A1324AA"/>
    <w:rsid w:val="1A1B135F"/>
    <w:rsid w:val="1A255D39"/>
    <w:rsid w:val="1A4C32C6"/>
    <w:rsid w:val="1A510CFD"/>
    <w:rsid w:val="1A5A1E87"/>
    <w:rsid w:val="1A642D06"/>
    <w:rsid w:val="1A7C336C"/>
    <w:rsid w:val="1A8213DE"/>
    <w:rsid w:val="1AA66E7A"/>
    <w:rsid w:val="1AB23A71"/>
    <w:rsid w:val="1AE94B9D"/>
    <w:rsid w:val="1AF776D6"/>
    <w:rsid w:val="1AFC1190"/>
    <w:rsid w:val="1B18764C"/>
    <w:rsid w:val="1B24469F"/>
    <w:rsid w:val="1B380FBD"/>
    <w:rsid w:val="1B724FAE"/>
    <w:rsid w:val="1B753723"/>
    <w:rsid w:val="1B783377"/>
    <w:rsid w:val="1B8C2514"/>
    <w:rsid w:val="1BB67591"/>
    <w:rsid w:val="1BCC1A5A"/>
    <w:rsid w:val="1C073948"/>
    <w:rsid w:val="1C2347D9"/>
    <w:rsid w:val="1C69015F"/>
    <w:rsid w:val="1C715266"/>
    <w:rsid w:val="1CA80D91"/>
    <w:rsid w:val="1CB11B06"/>
    <w:rsid w:val="1CFE11EF"/>
    <w:rsid w:val="1D105763"/>
    <w:rsid w:val="1D123399"/>
    <w:rsid w:val="1D1327C1"/>
    <w:rsid w:val="1D4D5982"/>
    <w:rsid w:val="1D5801D4"/>
    <w:rsid w:val="1D7D1E81"/>
    <w:rsid w:val="1D813BCE"/>
    <w:rsid w:val="1D8965DF"/>
    <w:rsid w:val="1D9C27B6"/>
    <w:rsid w:val="1DA8115B"/>
    <w:rsid w:val="1DD27F86"/>
    <w:rsid w:val="1DE6325C"/>
    <w:rsid w:val="1DFC3255"/>
    <w:rsid w:val="1E05210A"/>
    <w:rsid w:val="1E7554E1"/>
    <w:rsid w:val="1E937715"/>
    <w:rsid w:val="1E9811D0"/>
    <w:rsid w:val="1ED1023E"/>
    <w:rsid w:val="1EFA0440"/>
    <w:rsid w:val="1EFD1033"/>
    <w:rsid w:val="1F445FB7"/>
    <w:rsid w:val="1F4E02AA"/>
    <w:rsid w:val="1F56635F"/>
    <w:rsid w:val="1F5A0233"/>
    <w:rsid w:val="1F7D3F22"/>
    <w:rsid w:val="1F811C64"/>
    <w:rsid w:val="1F84003F"/>
    <w:rsid w:val="1F947BE9"/>
    <w:rsid w:val="1F9574BD"/>
    <w:rsid w:val="1FA912D2"/>
    <w:rsid w:val="1FB812A8"/>
    <w:rsid w:val="1FD004F5"/>
    <w:rsid w:val="1FE346CD"/>
    <w:rsid w:val="1FEF4E1F"/>
    <w:rsid w:val="20085EE1"/>
    <w:rsid w:val="202F346E"/>
    <w:rsid w:val="203942EC"/>
    <w:rsid w:val="20452C91"/>
    <w:rsid w:val="20765541"/>
    <w:rsid w:val="20875058"/>
    <w:rsid w:val="20971013"/>
    <w:rsid w:val="20AD0837"/>
    <w:rsid w:val="20C04176"/>
    <w:rsid w:val="20CA763A"/>
    <w:rsid w:val="20CE0ED9"/>
    <w:rsid w:val="20D52267"/>
    <w:rsid w:val="21254871"/>
    <w:rsid w:val="21316BD4"/>
    <w:rsid w:val="215313DE"/>
    <w:rsid w:val="215A18CF"/>
    <w:rsid w:val="217C0935"/>
    <w:rsid w:val="21817CF9"/>
    <w:rsid w:val="218477E9"/>
    <w:rsid w:val="21A460DD"/>
    <w:rsid w:val="21A734D8"/>
    <w:rsid w:val="21F04E7F"/>
    <w:rsid w:val="21F26E49"/>
    <w:rsid w:val="21F42BC1"/>
    <w:rsid w:val="22175644"/>
    <w:rsid w:val="22407BB4"/>
    <w:rsid w:val="224A27E1"/>
    <w:rsid w:val="22623FCE"/>
    <w:rsid w:val="227B6E3E"/>
    <w:rsid w:val="22806203"/>
    <w:rsid w:val="22A2261D"/>
    <w:rsid w:val="22A719E1"/>
    <w:rsid w:val="22B97967"/>
    <w:rsid w:val="22E06CA1"/>
    <w:rsid w:val="23085695"/>
    <w:rsid w:val="231177A3"/>
    <w:rsid w:val="23264FFC"/>
    <w:rsid w:val="23582CDC"/>
    <w:rsid w:val="235B27CC"/>
    <w:rsid w:val="23675615"/>
    <w:rsid w:val="236B6EB3"/>
    <w:rsid w:val="23865A9B"/>
    <w:rsid w:val="23AB3753"/>
    <w:rsid w:val="23BA1BE8"/>
    <w:rsid w:val="23CE2F9E"/>
    <w:rsid w:val="23DC1B5F"/>
    <w:rsid w:val="23EB3B50"/>
    <w:rsid w:val="240F3CE2"/>
    <w:rsid w:val="2412732E"/>
    <w:rsid w:val="241A4435"/>
    <w:rsid w:val="2466767A"/>
    <w:rsid w:val="248C5333"/>
    <w:rsid w:val="24A55645"/>
    <w:rsid w:val="24AD52A9"/>
    <w:rsid w:val="24C0322E"/>
    <w:rsid w:val="24C70119"/>
    <w:rsid w:val="24D10F97"/>
    <w:rsid w:val="251A0B90"/>
    <w:rsid w:val="2527505B"/>
    <w:rsid w:val="252F5CBE"/>
    <w:rsid w:val="25460D1A"/>
    <w:rsid w:val="256E67E6"/>
    <w:rsid w:val="257638ED"/>
    <w:rsid w:val="257A162F"/>
    <w:rsid w:val="25BF34E6"/>
    <w:rsid w:val="25C12DBA"/>
    <w:rsid w:val="261A4BC0"/>
    <w:rsid w:val="262D044F"/>
    <w:rsid w:val="26345C82"/>
    <w:rsid w:val="263C68E5"/>
    <w:rsid w:val="264F6618"/>
    <w:rsid w:val="26593CB2"/>
    <w:rsid w:val="26793695"/>
    <w:rsid w:val="26976211"/>
    <w:rsid w:val="26A61FB0"/>
    <w:rsid w:val="26B26BA7"/>
    <w:rsid w:val="26D27249"/>
    <w:rsid w:val="26D7199A"/>
    <w:rsid w:val="26F176CF"/>
    <w:rsid w:val="27165388"/>
    <w:rsid w:val="27223D2C"/>
    <w:rsid w:val="272963A5"/>
    <w:rsid w:val="2734580E"/>
    <w:rsid w:val="27351CB2"/>
    <w:rsid w:val="27547C5E"/>
    <w:rsid w:val="276E51C4"/>
    <w:rsid w:val="277346FC"/>
    <w:rsid w:val="27932534"/>
    <w:rsid w:val="27960AC8"/>
    <w:rsid w:val="27EE3C0E"/>
    <w:rsid w:val="28074CD0"/>
    <w:rsid w:val="280E605F"/>
    <w:rsid w:val="28425D08"/>
    <w:rsid w:val="28706D19"/>
    <w:rsid w:val="28740FEB"/>
    <w:rsid w:val="28887BBF"/>
    <w:rsid w:val="28DE6D64"/>
    <w:rsid w:val="28E55011"/>
    <w:rsid w:val="28F33BD2"/>
    <w:rsid w:val="290F0C50"/>
    <w:rsid w:val="291B489A"/>
    <w:rsid w:val="292024ED"/>
    <w:rsid w:val="294A30C6"/>
    <w:rsid w:val="296A19BB"/>
    <w:rsid w:val="297939AC"/>
    <w:rsid w:val="29FC6128"/>
    <w:rsid w:val="2A046832"/>
    <w:rsid w:val="2A1536D4"/>
    <w:rsid w:val="2A2116AE"/>
    <w:rsid w:val="2A2B739C"/>
    <w:rsid w:val="2A2F2EF7"/>
    <w:rsid w:val="2A310EA7"/>
    <w:rsid w:val="2A3C141D"/>
    <w:rsid w:val="2A4A1C05"/>
    <w:rsid w:val="2A557676"/>
    <w:rsid w:val="2A5931C2"/>
    <w:rsid w:val="2A604DFB"/>
    <w:rsid w:val="2A6B2A4D"/>
    <w:rsid w:val="2AD76BDC"/>
    <w:rsid w:val="2B053749"/>
    <w:rsid w:val="2B0B4AD7"/>
    <w:rsid w:val="2B204A27"/>
    <w:rsid w:val="2B234681"/>
    <w:rsid w:val="2B253DEB"/>
    <w:rsid w:val="2B283BFC"/>
    <w:rsid w:val="2B400BF9"/>
    <w:rsid w:val="2B896186"/>
    <w:rsid w:val="2BB533C1"/>
    <w:rsid w:val="2BB60EE7"/>
    <w:rsid w:val="2BE23A8A"/>
    <w:rsid w:val="2BE55328"/>
    <w:rsid w:val="2C041C52"/>
    <w:rsid w:val="2C1005F7"/>
    <w:rsid w:val="2C11611D"/>
    <w:rsid w:val="2C26606D"/>
    <w:rsid w:val="2C5A5D16"/>
    <w:rsid w:val="2C83526D"/>
    <w:rsid w:val="2CA945A8"/>
    <w:rsid w:val="2CB05B88"/>
    <w:rsid w:val="2CDC497D"/>
    <w:rsid w:val="2CE13D42"/>
    <w:rsid w:val="2CF30280"/>
    <w:rsid w:val="2CF56AF6"/>
    <w:rsid w:val="2D340315"/>
    <w:rsid w:val="2D3B78F6"/>
    <w:rsid w:val="2D402BD8"/>
    <w:rsid w:val="2D4542D1"/>
    <w:rsid w:val="2D522E91"/>
    <w:rsid w:val="2D542766"/>
    <w:rsid w:val="2D6D6CBC"/>
    <w:rsid w:val="2D8172D3"/>
    <w:rsid w:val="2D8A262B"/>
    <w:rsid w:val="2D990AC0"/>
    <w:rsid w:val="2D9E60D7"/>
    <w:rsid w:val="2DA01E4F"/>
    <w:rsid w:val="2DAA6C63"/>
    <w:rsid w:val="2DAD00C8"/>
    <w:rsid w:val="2DBD47AF"/>
    <w:rsid w:val="2DF950BB"/>
    <w:rsid w:val="2E100D83"/>
    <w:rsid w:val="2E20089A"/>
    <w:rsid w:val="2E2B5E45"/>
    <w:rsid w:val="2E312AA7"/>
    <w:rsid w:val="2E5C5D76"/>
    <w:rsid w:val="2E61338C"/>
    <w:rsid w:val="2E655CEC"/>
    <w:rsid w:val="2E7C6418"/>
    <w:rsid w:val="2EB15996"/>
    <w:rsid w:val="2ED525AB"/>
    <w:rsid w:val="2F1D79A9"/>
    <w:rsid w:val="2F8D21B7"/>
    <w:rsid w:val="2FA379D4"/>
    <w:rsid w:val="2FA86D99"/>
    <w:rsid w:val="2FAB5FAD"/>
    <w:rsid w:val="2FF7387C"/>
    <w:rsid w:val="305F1B4D"/>
    <w:rsid w:val="308B46F0"/>
    <w:rsid w:val="308E5F8F"/>
    <w:rsid w:val="30C23E8A"/>
    <w:rsid w:val="30F1602A"/>
    <w:rsid w:val="3103797D"/>
    <w:rsid w:val="312772D8"/>
    <w:rsid w:val="31576CC8"/>
    <w:rsid w:val="31615451"/>
    <w:rsid w:val="31644F41"/>
    <w:rsid w:val="31662A68"/>
    <w:rsid w:val="316F5DC0"/>
    <w:rsid w:val="319C46DB"/>
    <w:rsid w:val="31A87524"/>
    <w:rsid w:val="31AC0DC2"/>
    <w:rsid w:val="31AE7E28"/>
    <w:rsid w:val="31BA1C29"/>
    <w:rsid w:val="31C0486E"/>
    <w:rsid w:val="31CA56EC"/>
    <w:rsid w:val="31DE2F46"/>
    <w:rsid w:val="31FB7654"/>
    <w:rsid w:val="32075FF9"/>
    <w:rsid w:val="323E0011"/>
    <w:rsid w:val="32891103"/>
    <w:rsid w:val="32A25D21"/>
    <w:rsid w:val="32BF0681"/>
    <w:rsid w:val="32E14A9C"/>
    <w:rsid w:val="33233CD9"/>
    <w:rsid w:val="33552D94"/>
    <w:rsid w:val="33811DDB"/>
    <w:rsid w:val="338B0EAB"/>
    <w:rsid w:val="338C674B"/>
    <w:rsid w:val="33905E8E"/>
    <w:rsid w:val="33AB32FB"/>
    <w:rsid w:val="33D62126"/>
    <w:rsid w:val="33DB0FA3"/>
    <w:rsid w:val="33E32A95"/>
    <w:rsid w:val="33E660E2"/>
    <w:rsid w:val="340D18C0"/>
    <w:rsid w:val="340D7B12"/>
    <w:rsid w:val="343E5F1E"/>
    <w:rsid w:val="34675474"/>
    <w:rsid w:val="34775149"/>
    <w:rsid w:val="34AB35B3"/>
    <w:rsid w:val="34EE16F2"/>
    <w:rsid w:val="34F40689"/>
    <w:rsid w:val="34F82570"/>
    <w:rsid w:val="34FA62E8"/>
    <w:rsid w:val="3502519D"/>
    <w:rsid w:val="35066A3B"/>
    <w:rsid w:val="3511718E"/>
    <w:rsid w:val="351D1FD7"/>
    <w:rsid w:val="35374F31"/>
    <w:rsid w:val="354237EC"/>
    <w:rsid w:val="35584DBD"/>
    <w:rsid w:val="355B6839"/>
    <w:rsid w:val="35A16764"/>
    <w:rsid w:val="35EB3E83"/>
    <w:rsid w:val="35F40F8A"/>
    <w:rsid w:val="360F1920"/>
    <w:rsid w:val="36115039"/>
    <w:rsid w:val="36145188"/>
    <w:rsid w:val="3619279E"/>
    <w:rsid w:val="364B3A1B"/>
    <w:rsid w:val="3656754F"/>
    <w:rsid w:val="366217B8"/>
    <w:rsid w:val="36891AAE"/>
    <w:rsid w:val="369462C9"/>
    <w:rsid w:val="36A858D0"/>
    <w:rsid w:val="36EA5EE9"/>
    <w:rsid w:val="36F40B16"/>
    <w:rsid w:val="36FC6348"/>
    <w:rsid w:val="3701395E"/>
    <w:rsid w:val="375515B4"/>
    <w:rsid w:val="376C68FE"/>
    <w:rsid w:val="376E1DA6"/>
    <w:rsid w:val="37712166"/>
    <w:rsid w:val="37B95FE7"/>
    <w:rsid w:val="37E67B26"/>
    <w:rsid w:val="37F05781"/>
    <w:rsid w:val="37FA215C"/>
    <w:rsid w:val="37FC4126"/>
    <w:rsid w:val="385E6CB4"/>
    <w:rsid w:val="38665811"/>
    <w:rsid w:val="387E0FDF"/>
    <w:rsid w:val="387E4B3B"/>
    <w:rsid w:val="388859B9"/>
    <w:rsid w:val="38A10829"/>
    <w:rsid w:val="38BF4256"/>
    <w:rsid w:val="39181FE1"/>
    <w:rsid w:val="392C4597"/>
    <w:rsid w:val="39503E8F"/>
    <w:rsid w:val="395D6E46"/>
    <w:rsid w:val="398E29AB"/>
    <w:rsid w:val="398E6FFF"/>
    <w:rsid w:val="39924D42"/>
    <w:rsid w:val="39A16D33"/>
    <w:rsid w:val="39A64349"/>
    <w:rsid w:val="39B9672D"/>
    <w:rsid w:val="39C649EB"/>
    <w:rsid w:val="3A173499"/>
    <w:rsid w:val="3A485400"/>
    <w:rsid w:val="3A4A561C"/>
    <w:rsid w:val="3A63048C"/>
    <w:rsid w:val="3A80103E"/>
    <w:rsid w:val="3A9740AB"/>
    <w:rsid w:val="3AA82343"/>
    <w:rsid w:val="3AB94550"/>
    <w:rsid w:val="3BA0301A"/>
    <w:rsid w:val="3BB32D4D"/>
    <w:rsid w:val="3BCE7B87"/>
    <w:rsid w:val="3BDD426E"/>
    <w:rsid w:val="3BF53366"/>
    <w:rsid w:val="3C2459F9"/>
    <w:rsid w:val="3C264EBA"/>
    <w:rsid w:val="3C2B6D87"/>
    <w:rsid w:val="3C636521"/>
    <w:rsid w:val="3C6D55F2"/>
    <w:rsid w:val="3C797AF3"/>
    <w:rsid w:val="3C830972"/>
    <w:rsid w:val="3CB74ABF"/>
    <w:rsid w:val="3CED228F"/>
    <w:rsid w:val="3CF7310E"/>
    <w:rsid w:val="3CF90C34"/>
    <w:rsid w:val="3D000214"/>
    <w:rsid w:val="3D023F8C"/>
    <w:rsid w:val="3D193084"/>
    <w:rsid w:val="3D2832C7"/>
    <w:rsid w:val="3D3057AB"/>
    <w:rsid w:val="3D6A38DF"/>
    <w:rsid w:val="3D6C7658"/>
    <w:rsid w:val="3D840E45"/>
    <w:rsid w:val="3D8726E3"/>
    <w:rsid w:val="3DB86D41"/>
    <w:rsid w:val="3DBF59D9"/>
    <w:rsid w:val="3DF02037"/>
    <w:rsid w:val="3E0C2BE9"/>
    <w:rsid w:val="3E18158D"/>
    <w:rsid w:val="3E4D63CA"/>
    <w:rsid w:val="3E7762B4"/>
    <w:rsid w:val="3E854E75"/>
    <w:rsid w:val="3E94330A"/>
    <w:rsid w:val="3E9A1FA2"/>
    <w:rsid w:val="3E9D2BEA"/>
    <w:rsid w:val="3EC15781"/>
    <w:rsid w:val="3ED43706"/>
    <w:rsid w:val="3F051B12"/>
    <w:rsid w:val="3F395C5F"/>
    <w:rsid w:val="3F52287D"/>
    <w:rsid w:val="3F9A2A03"/>
    <w:rsid w:val="3FBF6165"/>
    <w:rsid w:val="3FD05DB3"/>
    <w:rsid w:val="3FF12096"/>
    <w:rsid w:val="402B37FA"/>
    <w:rsid w:val="40460634"/>
    <w:rsid w:val="407D1B7C"/>
    <w:rsid w:val="40864ED4"/>
    <w:rsid w:val="40880C4C"/>
    <w:rsid w:val="40A11D0E"/>
    <w:rsid w:val="40CD665F"/>
    <w:rsid w:val="40D4037D"/>
    <w:rsid w:val="40D95004"/>
    <w:rsid w:val="40DE0B0C"/>
    <w:rsid w:val="40E51212"/>
    <w:rsid w:val="40E8793D"/>
    <w:rsid w:val="40EB6E5E"/>
    <w:rsid w:val="40F313EE"/>
    <w:rsid w:val="40F938F8"/>
    <w:rsid w:val="41066286"/>
    <w:rsid w:val="41087697"/>
    <w:rsid w:val="410D1152"/>
    <w:rsid w:val="413606A8"/>
    <w:rsid w:val="41536E14"/>
    <w:rsid w:val="41591676"/>
    <w:rsid w:val="41847666"/>
    <w:rsid w:val="41984EB0"/>
    <w:rsid w:val="41B31CF9"/>
    <w:rsid w:val="41BB060B"/>
    <w:rsid w:val="41BB0BAE"/>
    <w:rsid w:val="41C51A2C"/>
    <w:rsid w:val="41CC7DDB"/>
    <w:rsid w:val="41D1217F"/>
    <w:rsid w:val="41FB544E"/>
    <w:rsid w:val="42023B03"/>
    <w:rsid w:val="421A58D9"/>
    <w:rsid w:val="424741EF"/>
    <w:rsid w:val="426D00FA"/>
    <w:rsid w:val="42725710"/>
    <w:rsid w:val="42BF231A"/>
    <w:rsid w:val="42DD6902"/>
    <w:rsid w:val="42FE0D52"/>
    <w:rsid w:val="431C1B20"/>
    <w:rsid w:val="4323451C"/>
    <w:rsid w:val="43543068"/>
    <w:rsid w:val="43762FDE"/>
    <w:rsid w:val="43875283"/>
    <w:rsid w:val="43C50821"/>
    <w:rsid w:val="43D146B8"/>
    <w:rsid w:val="43EA577A"/>
    <w:rsid w:val="441445A5"/>
    <w:rsid w:val="441D78FE"/>
    <w:rsid w:val="443127CA"/>
    <w:rsid w:val="44345C27"/>
    <w:rsid w:val="44390B29"/>
    <w:rsid w:val="4439400C"/>
    <w:rsid w:val="446B4F14"/>
    <w:rsid w:val="44703ED1"/>
    <w:rsid w:val="449B39FB"/>
    <w:rsid w:val="44A973E3"/>
    <w:rsid w:val="44BA339E"/>
    <w:rsid w:val="44BF2763"/>
    <w:rsid w:val="44C304A5"/>
    <w:rsid w:val="44C45FCB"/>
    <w:rsid w:val="44D22496"/>
    <w:rsid w:val="44E86A3C"/>
    <w:rsid w:val="4503309D"/>
    <w:rsid w:val="45294080"/>
    <w:rsid w:val="45350C77"/>
    <w:rsid w:val="453C3DB3"/>
    <w:rsid w:val="45505AB1"/>
    <w:rsid w:val="45554E75"/>
    <w:rsid w:val="455563A8"/>
    <w:rsid w:val="457479F1"/>
    <w:rsid w:val="45796DB6"/>
    <w:rsid w:val="45A02594"/>
    <w:rsid w:val="45D746D7"/>
    <w:rsid w:val="46144D30"/>
    <w:rsid w:val="461A0599"/>
    <w:rsid w:val="466B2BA2"/>
    <w:rsid w:val="4681606A"/>
    <w:rsid w:val="468E6891"/>
    <w:rsid w:val="469B23D3"/>
    <w:rsid w:val="46A460B4"/>
    <w:rsid w:val="46ED7A5B"/>
    <w:rsid w:val="46F81F5C"/>
    <w:rsid w:val="47017063"/>
    <w:rsid w:val="470D4FF2"/>
    <w:rsid w:val="47217705"/>
    <w:rsid w:val="47451645"/>
    <w:rsid w:val="474E7DCE"/>
    <w:rsid w:val="475F022D"/>
    <w:rsid w:val="47794E4B"/>
    <w:rsid w:val="477F442B"/>
    <w:rsid w:val="47AB1521"/>
    <w:rsid w:val="47C14A44"/>
    <w:rsid w:val="47E56984"/>
    <w:rsid w:val="47E726FC"/>
    <w:rsid w:val="47EB288C"/>
    <w:rsid w:val="47FA7085"/>
    <w:rsid w:val="480F755D"/>
    <w:rsid w:val="48223734"/>
    <w:rsid w:val="48651873"/>
    <w:rsid w:val="48691363"/>
    <w:rsid w:val="48743864"/>
    <w:rsid w:val="48877A3B"/>
    <w:rsid w:val="48A203D1"/>
    <w:rsid w:val="48A57EC2"/>
    <w:rsid w:val="48B620CF"/>
    <w:rsid w:val="48F75C9D"/>
    <w:rsid w:val="48FD7CFE"/>
    <w:rsid w:val="495C60A6"/>
    <w:rsid w:val="496864BA"/>
    <w:rsid w:val="4970227E"/>
    <w:rsid w:val="498E0956"/>
    <w:rsid w:val="499C7517"/>
    <w:rsid w:val="49B90FE5"/>
    <w:rsid w:val="49D071C0"/>
    <w:rsid w:val="49E669E4"/>
    <w:rsid w:val="49F42EAF"/>
    <w:rsid w:val="4A05330E"/>
    <w:rsid w:val="4A361719"/>
    <w:rsid w:val="4A431740"/>
    <w:rsid w:val="4A481E0B"/>
    <w:rsid w:val="4A547DF1"/>
    <w:rsid w:val="4A670089"/>
    <w:rsid w:val="4ADB1500"/>
    <w:rsid w:val="4AE21A23"/>
    <w:rsid w:val="4AF71D55"/>
    <w:rsid w:val="4B11213C"/>
    <w:rsid w:val="4B1F5D09"/>
    <w:rsid w:val="4B313C8F"/>
    <w:rsid w:val="4B3814C1"/>
    <w:rsid w:val="4B55797D"/>
    <w:rsid w:val="4B5F07FC"/>
    <w:rsid w:val="4B773D97"/>
    <w:rsid w:val="4B7F3361"/>
    <w:rsid w:val="4B842010"/>
    <w:rsid w:val="4B886FC2"/>
    <w:rsid w:val="4B8B15F1"/>
    <w:rsid w:val="4BA32DDE"/>
    <w:rsid w:val="4BB04C7E"/>
    <w:rsid w:val="4BB23021"/>
    <w:rsid w:val="4BD965F0"/>
    <w:rsid w:val="4C132D3C"/>
    <w:rsid w:val="4C6267F5"/>
    <w:rsid w:val="4CA16E18"/>
    <w:rsid w:val="4CAA3CF8"/>
    <w:rsid w:val="4CE4545C"/>
    <w:rsid w:val="4D27188B"/>
    <w:rsid w:val="4D3A1520"/>
    <w:rsid w:val="4D783DF7"/>
    <w:rsid w:val="4D7E6014"/>
    <w:rsid w:val="4D844DB1"/>
    <w:rsid w:val="4DA42E3E"/>
    <w:rsid w:val="4DB42272"/>
    <w:rsid w:val="4DD74FC1"/>
    <w:rsid w:val="4DE1374A"/>
    <w:rsid w:val="4DE4148C"/>
    <w:rsid w:val="4DF3347D"/>
    <w:rsid w:val="4DF524E6"/>
    <w:rsid w:val="4E094695"/>
    <w:rsid w:val="4E137DBE"/>
    <w:rsid w:val="4E1458CD"/>
    <w:rsid w:val="4E3E0B9C"/>
    <w:rsid w:val="4E4B5067"/>
    <w:rsid w:val="4E524648"/>
    <w:rsid w:val="4E8C5DAC"/>
    <w:rsid w:val="4EBA33F0"/>
    <w:rsid w:val="4EBB3F9B"/>
    <w:rsid w:val="4EDB63EB"/>
    <w:rsid w:val="4EED611E"/>
    <w:rsid w:val="4F4641AC"/>
    <w:rsid w:val="4F4A3571"/>
    <w:rsid w:val="4F701229"/>
    <w:rsid w:val="4F7F321A"/>
    <w:rsid w:val="4FB355BA"/>
    <w:rsid w:val="4FC21359"/>
    <w:rsid w:val="4FC652ED"/>
    <w:rsid w:val="4FD67431"/>
    <w:rsid w:val="4FE94B38"/>
    <w:rsid w:val="50137E07"/>
    <w:rsid w:val="501A73E7"/>
    <w:rsid w:val="502142D2"/>
    <w:rsid w:val="50594DAD"/>
    <w:rsid w:val="50597F0F"/>
    <w:rsid w:val="505A5A36"/>
    <w:rsid w:val="50650662"/>
    <w:rsid w:val="50697A27"/>
    <w:rsid w:val="50917E9D"/>
    <w:rsid w:val="50AD3DB7"/>
    <w:rsid w:val="50B60EBE"/>
    <w:rsid w:val="50B74C36"/>
    <w:rsid w:val="50BB63CA"/>
    <w:rsid w:val="50C52E70"/>
    <w:rsid w:val="50DB6B76"/>
    <w:rsid w:val="51002139"/>
    <w:rsid w:val="51290774"/>
    <w:rsid w:val="51452242"/>
    <w:rsid w:val="51532BB1"/>
    <w:rsid w:val="51890380"/>
    <w:rsid w:val="51891B9B"/>
    <w:rsid w:val="519F5DF6"/>
    <w:rsid w:val="51CB6BEB"/>
    <w:rsid w:val="51DF61F2"/>
    <w:rsid w:val="52157E66"/>
    <w:rsid w:val="521A1920"/>
    <w:rsid w:val="521A722A"/>
    <w:rsid w:val="524424F9"/>
    <w:rsid w:val="524F15CA"/>
    <w:rsid w:val="52635075"/>
    <w:rsid w:val="527F3531"/>
    <w:rsid w:val="52A80CDA"/>
    <w:rsid w:val="52AD2165"/>
    <w:rsid w:val="52C04276"/>
    <w:rsid w:val="52C23BA5"/>
    <w:rsid w:val="52E2274C"/>
    <w:rsid w:val="52EC6101"/>
    <w:rsid w:val="53360094"/>
    <w:rsid w:val="534A1D91"/>
    <w:rsid w:val="535D3873"/>
    <w:rsid w:val="537137C2"/>
    <w:rsid w:val="538C5F06"/>
    <w:rsid w:val="53B4545D"/>
    <w:rsid w:val="53BF0089"/>
    <w:rsid w:val="53C5766A"/>
    <w:rsid w:val="53EE4E13"/>
    <w:rsid w:val="54352A41"/>
    <w:rsid w:val="54370568"/>
    <w:rsid w:val="545662D1"/>
    <w:rsid w:val="54705828"/>
    <w:rsid w:val="5472334E"/>
    <w:rsid w:val="548117E3"/>
    <w:rsid w:val="549459BA"/>
    <w:rsid w:val="54972DB4"/>
    <w:rsid w:val="54B95421"/>
    <w:rsid w:val="54FC70BB"/>
    <w:rsid w:val="552E3299"/>
    <w:rsid w:val="556233C2"/>
    <w:rsid w:val="556A671B"/>
    <w:rsid w:val="55713605"/>
    <w:rsid w:val="558570B1"/>
    <w:rsid w:val="55A51501"/>
    <w:rsid w:val="55EE2EA8"/>
    <w:rsid w:val="56090D5B"/>
    <w:rsid w:val="56170651"/>
    <w:rsid w:val="56226FF5"/>
    <w:rsid w:val="562E7748"/>
    <w:rsid w:val="56334D5F"/>
    <w:rsid w:val="5640499D"/>
    <w:rsid w:val="564725B8"/>
    <w:rsid w:val="56496330"/>
    <w:rsid w:val="56551179"/>
    <w:rsid w:val="56A31EE4"/>
    <w:rsid w:val="56B04601"/>
    <w:rsid w:val="56B7773E"/>
    <w:rsid w:val="56C97471"/>
    <w:rsid w:val="56CD6F61"/>
    <w:rsid w:val="56DF6C95"/>
    <w:rsid w:val="57032983"/>
    <w:rsid w:val="5717642E"/>
    <w:rsid w:val="573B211D"/>
    <w:rsid w:val="574216FD"/>
    <w:rsid w:val="574F3B38"/>
    <w:rsid w:val="57511940"/>
    <w:rsid w:val="577C44E3"/>
    <w:rsid w:val="578515EA"/>
    <w:rsid w:val="578C2978"/>
    <w:rsid w:val="57CA34A1"/>
    <w:rsid w:val="57DA7B88"/>
    <w:rsid w:val="57E73000"/>
    <w:rsid w:val="58022C3B"/>
    <w:rsid w:val="58176299"/>
    <w:rsid w:val="58207565"/>
    <w:rsid w:val="58347FF9"/>
    <w:rsid w:val="58395CD8"/>
    <w:rsid w:val="58403763"/>
    <w:rsid w:val="58A41F44"/>
    <w:rsid w:val="58C47EF0"/>
    <w:rsid w:val="58C6010C"/>
    <w:rsid w:val="58D26AB1"/>
    <w:rsid w:val="5903310E"/>
    <w:rsid w:val="59060509"/>
    <w:rsid w:val="590B3D71"/>
    <w:rsid w:val="591F4C55"/>
    <w:rsid w:val="591F72E3"/>
    <w:rsid w:val="597E175D"/>
    <w:rsid w:val="5996123D"/>
    <w:rsid w:val="5998075A"/>
    <w:rsid w:val="59A0270B"/>
    <w:rsid w:val="59A3044D"/>
    <w:rsid w:val="59A541C5"/>
    <w:rsid w:val="59B85CA7"/>
    <w:rsid w:val="59C12681"/>
    <w:rsid w:val="59CD1026"/>
    <w:rsid w:val="59ED3476"/>
    <w:rsid w:val="59F12F67"/>
    <w:rsid w:val="5A1B4488"/>
    <w:rsid w:val="5A3F0176"/>
    <w:rsid w:val="5A415526"/>
    <w:rsid w:val="5A427C66"/>
    <w:rsid w:val="5A53777D"/>
    <w:rsid w:val="5A715E56"/>
    <w:rsid w:val="5ABA77FD"/>
    <w:rsid w:val="5AE44879"/>
    <w:rsid w:val="5AE96334"/>
    <w:rsid w:val="5AEC45D6"/>
    <w:rsid w:val="5AFF16B3"/>
    <w:rsid w:val="5B13515F"/>
    <w:rsid w:val="5B1C4013"/>
    <w:rsid w:val="5B4B48F9"/>
    <w:rsid w:val="5B6360E6"/>
    <w:rsid w:val="5B857E0A"/>
    <w:rsid w:val="5B9C2534"/>
    <w:rsid w:val="5BB95D06"/>
    <w:rsid w:val="5BC8419B"/>
    <w:rsid w:val="5BF136F2"/>
    <w:rsid w:val="5BF46D3E"/>
    <w:rsid w:val="5C1271C4"/>
    <w:rsid w:val="5C146496"/>
    <w:rsid w:val="5C2238AB"/>
    <w:rsid w:val="5C2528EA"/>
    <w:rsid w:val="5C25339C"/>
    <w:rsid w:val="5C2C0286"/>
    <w:rsid w:val="5C2F3A75"/>
    <w:rsid w:val="5C337866"/>
    <w:rsid w:val="5C594DF3"/>
    <w:rsid w:val="5C5B500F"/>
    <w:rsid w:val="5C763BF7"/>
    <w:rsid w:val="5C98591B"/>
    <w:rsid w:val="5CA02A22"/>
    <w:rsid w:val="5CB36BF9"/>
    <w:rsid w:val="5CBB785C"/>
    <w:rsid w:val="5CCC4060"/>
    <w:rsid w:val="5CD03307"/>
    <w:rsid w:val="5CD66444"/>
    <w:rsid w:val="5CF35248"/>
    <w:rsid w:val="5D134E62"/>
    <w:rsid w:val="5D284EF1"/>
    <w:rsid w:val="5D526412"/>
    <w:rsid w:val="5D777C27"/>
    <w:rsid w:val="5D7A51C0"/>
    <w:rsid w:val="5D881E34"/>
    <w:rsid w:val="5D96790D"/>
    <w:rsid w:val="5D97750C"/>
    <w:rsid w:val="5DB46785"/>
    <w:rsid w:val="5DD020C5"/>
    <w:rsid w:val="5DD46E27"/>
    <w:rsid w:val="5DDB6408"/>
    <w:rsid w:val="5DE54B90"/>
    <w:rsid w:val="5DFE3EA4"/>
    <w:rsid w:val="5E0B036F"/>
    <w:rsid w:val="5E111E29"/>
    <w:rsid w:val="5E1D0858"/>
    <w:rsid w:val="5E2A2EEB"/>
    <w:rsid w:val="5E7D74BF"/>
    <w:rsid w:val="5EC549C2"/>
    <w:rsid w:val="5ED54C05"/>
    <w:rsid w:val="5F0C439F"/>
    <w:rsid w:val="5F293E4A"/>
    <w:rsid w:val="5F574DB8"/>
    <w:rsid w:val="5F7C7776"/>
    <w:rsid w:val="5F824661"/>
    <w:rsid w:val="5FB213EA"/>
    <w:rsid w:val="5FD255E8"/>
    <w:rsid w:val="5FDA624B"/>
    <w:rsid w:val="602E7999"/>
    <w:rsid w:val="603242D9"/>
    <w:rsid w:val="60365B77"/>
    <w:rsid w:val="603E2C7E"/>
    <w:rsid w:val="6045400C"/>
    <w:rsid w:val="60597AB8"/>
    <w:rsid w:val="606D3305"/>
    <w:rsid w:val="6085265B"/>
    <w:rsid w:val="60B13450"/>
    <w:rsid w:val="60F8107F"/>
    <w:rsid w:val="60FD63C9"/>
    <w:rsid w:val="61314591"/>
    <w:rsid w:val="61363955"/>
    <w:rsid w:val="614E0C9F"/>
    <w:rsid w:val="614E5143"/>
    <w:rsid w:val="6151078F"/>
    <w:rsid w:val="615362B5"/>
    <w:rsid w:val="615838CB"/>
    <w:rsid w:val="61642270"/>
    <w:rsid w:val="617F354E"/>
    <w:rsid w:val="6200468F"/>
    <w:rsid w:val="62560A2F"/>
    <w:rsid w:val="625B7BC5"/>
    <w:rsid w:val="627209BD"/>
    <w:rsid w:val="62B1460F"/>
    <w:rsid w:val="62BA2CFA"/>
    <w:rsid w:val="62BF70D3"/>
    <w:rsid w:val="62C3746A"/>
    <w:rsid w:val="62C456BC"/>
    <w:rsid w:val="62DE42A4"/>
    <w:rsid w:val="62E01AAE"/>
    <w:rsid w:val="63424833"/>
    <w:rsid w:val="635307EE"/>
    <w:rsid w:val="636E5A4C"/>
    <w:rsid w:val="637757DF"/>
    <w:rsid w:val="638F0A5F"/>
    <w:rsid w:val="639A01CB"/>
    <w:rsid w:val="639A466F"/>
    <w:rsid w:val="63A64DC2"/>
    <w:rsid w:val="63B70D7D"/>
    <w:rsid w:val="63C139AA"/>
    <w:rsid w:val="63D27965"/>
    <w:rsid w:val="63E47698"/>
    <w:rsid w:val="63EE0517"/>
    <w:rsid w:val="63FA4388"/>
    <w:rsid w:val="640B266D"/>
    <w:rsid w:val="640B2E77"/>
    <w:rsid w:val="64175CC0"/>
    <w:rsid w:val="641F4B74"/>
    <w:rsid w:val="64341239"/>
    <w:rsid w:val="649317EA"/>
    <w:rsid w:val="64937645"/>
    <w:rsid w:val="649D6E90"/>
    <w:rsid w:val="64D67929"/>
    <w:rsid w:val="64E02555"/>
    <w:rsid w:val="64EC0EFA"/>
    <w:rsid w:val="64ED4C6E"/>
    <w:rsid w:val="65387C9C"/>
    <w:rsid w:val="656942F9"/>
    <w:rsid w:val="656B46CF"/>
    <w:rsid w:val="657607C4"/>
    <w:rsid w:val="65766A16"/>
    <w:rsid w:val="6578453C"/>
    <w:rsid w:val="657B402C"/>
    <w:rsid w:val="6589499B"/>
    <w:rsid w:val="65E322FD"/>
    <w:rsid w:val="65EE2A50"/>
    <w:rsid w:val="65FE0EE5"/>
    <w:rsid w:val="662446C4"/>
    <w:rsid w:val="667E2026"/>
    <w:rsid w:val="66B27F22"/>
    <w:rsid w:val="66CC0FE3"/>
    <w:rsid w:val="66EA1469"/>
    <w:rsid w:val="66F145A6"/>
    <w:rsid w:val="66F73903"/>
    <w:rsid w:val="67144738"/>
    <w:rsid w:val="67167BBF"/>
    <w:rsid w:val="67193AFD"/>
    <w:rsid w:val="671D539B"/>
    <w:rsid w:val="672229B1"/>
    <w:rsid w:val="679B09B6"/>
    <w:rsid w:val="67AF7FBD"/>
    <w:rsid w:val="67BC2A2B"/>
    <w:rsid w:val="67C577E1"/>
    <w:rsid w:val="67D6379C"/>
    <w:rsid w:val="68142C42"/>
    <w:rsid w:val="6870599E"/>
    <w:rsid w:val="68896A60"/>
    <w:rsid w:val="68955405"/>
    <w:rsid w:val="68AB2E7A"/>
    <w:rsid w:val="68BE2BAE"/>
    <w:rsid w:val="68D75A1D"/>
    <w:rsid w:val="68EA39A3"/>
    <w:rsid w:val="69197DE4"/>
    <w:rsid w:val="69216C99"/>
    <w:rsid w:val="692844CB"/>
    <w:rsid w:val="697119CE"/>
    <w:rsid w:val="69766FE4"/>
    <w:rsid w:val="69794D27"/>
    <w:rsid w:val="69831701"/>
    <w:rsid w:val="69CA10DE"/>
    <w:rsid w:val="69D41F5D"/>
    <w:rsid w:val="69F34AD9"/>
    <w:rsid w:val="6A1862EE"/>
    <w:rsid w:val="6A331379"/>
    <w:rsid w:val="6A681023"/>
    <w:rsid w:val="6A6D6639"/>
    <w:rsid w:val="6A837C0B"/>
    <w:rsid w:val="6A857F0C"/>
    <w:rsid w:val="6AB2229E"/>
    <w:rsid w:val="6AB9187F"/>
    <w:rsid w:val="6AE82164"/>
    <w:rsid w:val="6AFD76D6"/>
    <w:rsid w:val="6B1116BB"/>
    <w:rsid w:val="6B2B3DFF"/>
    <w:rsid w:val="6B2D401B"/>
    <w:rsid w:val="6B8C2AEF"/>
    <w:rsid w:val="6BCA186A"/>
    <w:rsid w:val="6BDF3567"/>
    <w:rsid w:val="6C0B435C"/>
    <w:rsid w:val="6C382C77"/>
    <w:rsid w:val="6C44161C"/>
    <w:rsid w:val="6C4C227F"/>
    <w:rsid w:val="6C8F5ADC"/>
    <w:rsid w:val="6CC462B9"/>
    <w:rsid w:val="6CD40BF2"/>
    <w:rsid w:val="6CDA0531"/>
    <w:rsid w:val="6CDE66C4"/>
    <w:rsid w:val="6CE150BD"/>
    <w:rsid w:val="6CE801F9"/>
    <w:rsid w:val="6CF92406"/>
    <w:rsid w:val="6D342CE0"/>
    <w:rsid w:val="6D75164E"/>
    <w:rsid w:val="6D8A5754"/>
    <w:rsid w:val="6D995997"/>
    <w:rsid w:val="6DAC56CB"/>
    <w:rsid w:val="6DB51592"/>
    <w:rsid w:val="6DC04CD2"/>
    <w:rsid w:val="6DC17AF6"/>
    <w:rsid w:val="6E0949F7"/>
    <w:rsid w:val="6E296D1B"/>
    <w:rsid w:val="6E3D6323"/>
    <w:rsid w:val="6E407BC1"/>
    <w:rsid w:val="6E4E22DE"/>
    <w:rsid w:val="6E7F06E9"/>
    <w:rsid w:val="6E8E3022"/>
    <w:rsid w:val="6EB32A89"/>
    <w:rsid w:val="6EBA3E17"/>
    <w:rsid w:val="6EC802E2"/>
    <w:rsid w:val="6EDC0332"/>
    <w:rsid w:val="6F046E40"/>
    <w:rsid w:val="6F285225"/>
    <w:rsid w:val="6F413BF1"/>
    <w:rsid w:val="6F683873"/>
    <w:rsid w:val="6F685621"/>
    <w:rsid w:val="6FB46AB9"/>
    <w:rsid w:val="6FB865A9"/>
    <w:rsid w:val="6FD9651F"/>
    <w:rsid w:val="701B6B38"/>
    <w:rsid w:val="704D7A45"/>
    <w:rsid w:val="706E4EB9"/>
    <w:rsid w:val="708741CD"/>
    <w:rsid w:val="70903082"/>
    <w:rsid w:val="70B623BC"/>
    <w:rsid w:val="70BE145A"/>
    <w:rsid w:val="70D72A5F"/>
    <w:rsid w:val="70F57389"/>
    <w:rsid w:val="70FC0717"/>
    <w:rsid w:val="71000171"/>
    <w:rsid w:val="71153587"/>
    <w:rsid w:val="71245578"/>
    <w:rsid w:val="7141612A"/>
    <w:rsid w:val="71744751"/>
    <w:rsid w:val="71810C1C"/>
    <w:rsid w:val="71883D59"/>
    <w:rsid w:val="718F3339"/>
    <w:rsid w:val="71970440"/>
    <w:rsid w:val="71AA1F21"/>
    <w:rsid w:val="71C50B09"/>
    <w:rsid w:val="71CD3E62"/>
    <w:rsid w:val="71D64AC4"/>
    <w:rsid w:val="72273572"/>
    <w:rsid w:val="723657EC"/>
    <w:rsid w:val="723C26F8"/>
    <w:rsid w:val="725D6F93"/>
    <w:rsid w:val="725E2D0C"/>
    <w:rsid w:val="72604CD6"/>
    <w:rsid w:val="729A6D07"/>
    <w:rsid w:val="72C40DC1"/>
    <w:rsid w:val="72E43211"/>
    <w:rsid w:val="73027B3B"/>
    <w:rsid w:val="731004AA"/>
    <w:rsid w:val="73263829"/>
    <w:rsid w:val="734737A0"/>
    <w:rsid w:val="73724CC1"/>
    <w:rsid w:val="73916D55"/>
    <w:rsid w:val="73A33523"/>
    <w:rsid w:val="73B37E63"/>
    <w:rsid w:val="73B76B77"/>
    <w:rsid w:val="73BB6668"/>
    <w:rsid w:val="73C66DBA"/>
    <w:rsid w:val="73D96540"/>
    <w:rsid w:val="73EA06EE"/>
    <w:rsid w:val="742E4CEE"/>
    <w:rsid w:val="74626AE3"/>
    <w:rsid w:val="747D56CB"/>
    <w:rsid w:val="74AA2238"/>
    <w:rsid w:val="74AF5AA0"/>
    <w:rsid w:val="74B9247B"/>
    <w:rsid w:val="74C27582"/>
    <w:rsid w:val="75181898"/>
    <w:rsid w:val="75385D85"/>
    <w:rsid w:val="753F0BD2"/>
    <w:rsid w:val="75750A98"/>
    <w:rsid w:val="7589009F"/>
    <w:rsid w:val="758B51B3"/>
    <w:rsid w:val="758E3908"/>
    <w:rsid w:val="75ED6880"/>
    <w:rsid w:val="76004806"/>
    <w:rsid w:val="762C55FB"/>
    <w:rsid w:val="76393874"/>
    <w:rsid w:val="76937428"/>
    <w:rsid w:val="76960CC6"/>
    <w:rsid w:val="76C07AF1"/>
    <w:rsid w:val="76C70E7F"/>
    <w:rsid w:val="76D35A76"/>
    <w:rsid w:val="76D37824"/>
    <w:rsid w:val="76DD06A3"/>
    <w:rsid w:val="76F0320D"/>
    <w:rsid w:val="771C566F"/>
    <w:rsid w:val="77292A1C"/>
    <w:rsid w:val="77440722"/>
    <w:rsid w:val="775C3CBE"/>
    <w:rsid w:val="77622FBC"/>
    <w:rsid w:val="77725922"/>
    <w:rsid w:val="77785CE2"/>
    <w:rsid w:val="779276DF"/>
    <w:rsid w:val="77A31806"/>
    <w:rsid w:val="77BA66F2"/>
    <w:rsid w:val="780C005C"/>
    <w:rsid w:val="785C7CED"/>
    <w:rsid w:val="786A039B"/>
    <w:rsid w:val="788F3C1F"/>
    <w:rsid w:val="789D523F"/>
    <w:rsid w:val="78A84CE1"/>
    <w:rsid w:val="78B673FD"/>
    <w:rsid w:val="78B95140"/>
    <w:rsid w:val="78C57641"/>
    <w:rsid w:val="78D15FE5"/>
    <w:rsid w:val="78D36201"/>
    <w:rsid w:val="78F05313"/>
    <w:rsid w:val="78F10436"/>
    <w:rsid w:val="78F9553C"/>
    <w:rsid w:val="791365FE"/>
    <w:rsid w:val="79246A5D"/>
    <w:rsid w:val="794013BD"/>
    <w:rsid w:val="79540DD4"/>
    <w:rsid w:val="79725A1A"/>
    <w:rsid w:val="797C477A"/>
    <w:rsid w:val="798E79CF"/>
    <w:rsid w:val="79927E6B"/>
    <w:rsid w:val="79935991"/>
    <w:rsid w:val="79B44C8A"/>
    <w:rsid w:val="79BD2A0E"/>
    <w:rsid w:val="79DA711C"/>
    <w:rsid w:val="79DF1625"/>
    <w:rsid w:val="79E1494E"/>
    <w:rsid w:val="79EB757B"/>
    <w:rsid w:val="7A0F3269"/>
    <w:rsid w:val="7A1268B5"/>
    <w:rsid w:val="7A1563A6"/>
    <w:rsid w:val="7A37456E"/>
    <w:rsid w:val="7A4428AF"/>
    <w:rsid w:val="7A6A4943"/>
    <w:rsid w:val="7A6B4218"/>
    <w:rsid w:val="7A6C0314"/>
    <w:rsid w:val="7ACA7190"/>
    <w:rsid w:val="7ACF0C4A"/>
    <w:rsid w:val="7B007056"/>
    <w:rsid w:val="7B0C59FB"/>
    <w:rsid w:val="7B0E1773"/>
    <w:rsid w:val="7B164183"/>
    <w:rsid w:val="7B315461"/>
    <w:rsid w:val="7B3960C4"/>
    <w:rsid w:val="7B4A02D1"/>
    <w:rsid w:val="7B5B0730"/>
    <w:rsid w:val="7B68568E"/>
    <w:rsid w:val="7B786BEC"/>
    <w:rsid w:val="7BC63DFB"/>
    <w:rsid w:val="7BC71922"/>
    <w:rsid w:val="7BDF4EBD"/>
    <w:rsid w:val="7BEB5610"/>
    <w:rsid w:val="7C1D11E6"/>
    <w:rsid w:val="7C1D48D8"/>
    <w:rsid w:val="7C2700CB"/>
    <w:rsid w:val="7C376AA7"/>
    <w:rsid w:val="7C5B09E8"/>
    <w:rsid w:val="7C6B6751"/>
    <w:rsid w:val="7C8A307B"/>
    <w:rsid w:val="7C9537CE"/>
    <w:rsid w:val="7CA53A11"/>
    <w:rsid w:val="7CC7607D"/>
    <w:rsid w:val="7CEF26FD"/>
    <w:rsid w:val="7CF229CE"/>
    <w:rsid w:val="7D0A5F6A"/>
    <w:rsid w:val="7D0E21AB"/>
    <w:rsid w:val="7D407BDD"/>
    <w:rsid w:val="7D692C90"/>
    <w:rsid w:val="7DBD4D8A"/>
    <w:rsid w:val="7DE30074"/>
    <w:rsid w:val="7DEE7639"/>
    <w:rsid w:val="7E002EC9"/>
    <w:rsid w:val="7E417769"/>
    <w:rsid w:val="7E584AB3"/>
    <w:rsid w:val="7E5C1EE1"/>
    <w:rsid w:val="7E77762F"/>
    <w:rsid w:val="7E7A2C7B"/>
    <w:rsid w:val="7E8B4E88"/>
    <w:rsid w:val="7ED95BF4"/>
    <w:rsid w:val="7EF23159"/>
    <w:rsid w:val="7EF26CB5"/>
    <w:rsid w:val="7F453289"/>
    <w:rsid w:val="7F623E3B"/>
    <w:rsid w:val="7F914720"/>
    <w:rsid w:val="7FAD6BD9"/>
    <w:rsid w:val="7FB81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nhideWhenUsed="0" w:uiPriority="1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qFormat="1" w:uiPriority="99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宋体" w:hAnsi="宋体" w:eastAsia="宋体" w:cs="宋体"/>
      <w:sz w:val="22"/>
      <w:szCs w:val="22"/>
      <w:lang w:val="zh-CN" w:eastAsia="zh-CN" w:bidi="zh-CN"/>
    </w:rPr>
  </w:style>
  <w:style w:type="paragraph" w:styleId="2">
    <w:name w:val="heading 1"/>
    <w:basedOn w:val="1"/>
    <w:next w:val="1"/>
    <w:link w:val="30"/>
    <w:qFormat/>
    <w:uiPriority w:val="1"/>
    <w:pPr>
      <w:spacing w:before="42"/>
      <w:ind w:left="478" w:hanging="339"/>
      <w:outlineLvl w:val="0"/>
    </w:pPr>
    <w:rPr>
      <w:b/>
      <w:bCs/>
      <w:sz w:val="30"/>
      <w:szCs w:val="32"/>
    </w:rPr>
  </w:style>
  <w:style w:type="paragraph" w:styleId="3">
    <w:name w:val="heading 2"/>
    <w:basedOn w:val="1"/>
    <w:next w:val="1"/>
    <w:link w:val="39"/>
    <w:qFormat/>
    <w:uiPriority w:val="1"/>
    <w:pPr>
      <w:ind w:left="668" w:hanging="529"/>
      <w:outlineLvl w:val="1"/>
    </w:pPr>
    <w:rPr>
      <w:sz w:val="30"/>
      <w:szCs w:val="30"/>
    </w:rPr>
  </w:style>
  <w:style w:type="paragraph" w:styleId="4">
    <w:name w:val="heading 3"/>
    <w:basedOn w:val="1"/>
    <w:next w:val="1"/>
    <w:qFormat/>
    <w:uiPriority w:val="1"/>
    <w:pPr>
      <w:ind w:left="819" w:hanging="680"/>
      <w:outlineLvl w:val="2"/>
    </w:pPr>
    <w:rPr>
      <w:sz w:val="28"/>
      <w:szCs w:val="28"/>
    </w:rPr>
  </w:style>
  <w:style w:type="character" w:default="1" w:styleId="19">
    <w:name w:val="Default Paragraph Font"/>
    <w:semiHidden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qFormat/>
    <w:uiPriority w:val="1"/>
    <w:rPr>
      <w:sz w:val="21"/>
      <w:szCs w:val="21"/>
    </w:rPr>
  </w:style>
  <w:style w:type="paragraph" w:styleId="6">
    <w:name w:val="Body Text Indent"/>
    <w:basedOn w:val="1"/>
    <w:qFormat/>
    <w:uiPriority w:val="99"/>
    <w:pPr>
      <w:ind w:firstLine="480"/>
    </w:pPr>
    <w:rPr>
      <w:rFonts w:ascii="楷体_GB2312" w:eastAsia="楷体_GB2312"/>
      <w:kern w:val="0"/>
      <w:sz w:val="24"/>
      <w:lang w:eastAsia="en-US"/>
    </w:rPr>
  </w:style>
  <w:style w:type="paragraph" w:styleId="7">
    <w:name w:val="toc 3"/>
    <w:basedOn w:val="1"/>
    <w:next w:val="1"/>
    <w:qFormat/>
    <w:uiPriority w:val="39"/>
    <w:pPr>
      <w:spacing w:line="312" w:lineRule="exact"/>
      <w:ind w:left="1460" w:hanging="481"/>
    </w:pPr>
    <w:rPr>
      <w:sz w:val="21"/>
      <w:szCs w:val="21"/>
    </w:rPr>
  </w:style>
  <w:style w:type="paragraph" w:styleId="8">
    <w:name w:val="Balloon Text"/>
    <w:basedOn w:val="1"/>
    <w:link w:val="38"/>
    <w:qFormat/>
    <w:uiPriority w:val="0"/>
    <w:rPr>
      <w:sz w:val="18"/>
      <w:szCs w:val="18"/>
    </w:rPr>
  </w:style>
  <w:style w:type="paragraph" w:styleId="9">
    <w:name w:val="foot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11">
    <w:name w:val="toc 1"/>
    <w:basedOn w:val="1"/>
    <w:next w:val="1"/>
    <w:qFormat/>
    <w:uiPriority w:val="39"/>
    <w:pPr>
      <w:spacing w:line="312" w:lineRule="exact"/>
      <w:ind w:left="932" w:right="324" w:hanging="933"/>
      <w:jc w:val="right"/>
    </w:pPr>
    <w:rPr>
      <w:sz w:val="21"/>
      <w:szCs w:val="21"/>
    </w:rPr>
  </w:style>
  <w:style w:type="paragraph" w:styleId="12">
    <w:name w:val="toc 4"/>
    <w:basedOn w:val="1"/>
    <w:next w:val="1"/>
    <w:qFormat/>
    <w:uiPriority w:val="0"/>
    <w:pPr>
      <w:ind w:left="1260" w:leftChars="600"/>
    </w:pPr>
  </w:style>
  <w:style w:type="paragraph" w:styleId="13">
    <w:name w:val="toc 2"/>
    <w:basedOn w:val="1"/>
    <w:next w:val="1"/>
    <w:qFormat/>
    <w:uiPriority w:val="39"/>
    <w:pPr>
      <w:spacing w:line="312" w:lineRule="exact"/>
      <w:ind w:left="884" w:hanging="325"/>
    </w:pPr>
    <w:rPr>
      <w:rFonts w:ascii="等线" w:hAnsi="等线" w:cs="等线"/>
      <w:sz w:val="21"/>
      <w:szCs w:val="21"/>
    </w:rPr>
  </w:style>
  <w:style w:type="paragraph" w:styleId="14">
    <w:name w:val="Body Text 2"/>
    <w:basedOn w:val="1"/>
    <w:unhideWhenUsed/>
    <w:qFormat/>
    <w:uiPriority w:val="99"/>
    <w:pPr>
      <w:spacing w:after="120" w:line="360" w:lineRule="auto"/>
      <w:ind w:firstLine="200" w:firstLineChars="200"/>
    </w:pPr>
    <w:rPr>
      <w:sz w:val="24"/>
    </w:rPr>
  </w:style>
  <w:style w:type="paragraph" w:styleId="15">
    <w:name w:val="Normal (Web)"/>
    <w:basedOn w:val="1"/>
    <w:qFormat/>
    <w:uiPriority w:val="0"/>
    <w:pPr>
      <w:widowControl/>
      <w:autoSpaceDE/>
      <w:autoSpaceDN/>
      <w:spacing w:beforeAutospacing="1" w:afterAutospacing="1" w:line="360" w:lineRule="auto"/>
    </w:pPr>
    <w:rPr>
      <w:rFonts w:cs="Times New Roman"/>
      <w:sz w:val="24"/>
      <w:szCs w:val="28"/>
      <w:lang w:val="en-US" w:bidi="ar-SA"/>
    </w:rPr>
  </w:style>
  <w:style w:type="paragraph" w:styleId="16">
    <w:name w:val="Body Text First Indent 2"/>
    <w:basedOn w:val="6"/>
    <w:qFormat/>
    <w:uiPriority w:val="0"/>
    <w:pPr>
      <w:spacing w:after="120"/>
      <w:ind w:left="420" w:leftChars="200" w:firstLine="420"/>
    </w:pPr>
    <w:rPr>
      <w:rFonts w:ascii="Plotter" w:hAnsi="Plotter"/>
      <w:sz w:val="21"/>
    </w:rPr>
  </w:style>
  <w:style w:type="table" w:styleId="18">
    <w:name w:val="Table Grid"/>
    <w:basedOn w:val="1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20">
    <w:name w:val="Strong"/>
    <w:basedOn w:val="19"/>
    <w:qFormat/>
    <w:uiPriority w:val="0"/>
    <w:rPr>
      <w:b/>
    </w:rPr>
  </w:style>
  <w:style w:type="character" w:styleId="21">
    <w:name w:val="FollowedHyperlink"/>
    <w:basedOn w:val="19"/>
    <w:qFormat/>
    <w:uiPriority w:val="0"/>
    <w:rPr>
      <w:color w:val="800080"/>
      <w:u w:val="single"/>
    </w:rPr>
  </w:style>
  <w:style w:type="character" w:styleId="22">
    <w:name w:val="Emphasis"/>
    <w:basedOn w:val="19"/>
    <w:qFormat/>
    <w:uiPriority w:val="20"/>
    <w:rPr>
      <w:i/>
      <w:iCs/>
    </w:rPr>
  </w:style>
  <w:style w:type="character" w:styleId="23">
    <w:name w:val="Hyperlink"/>
    <w:basedOn w:val="19"/>
    <w:qFormat/>
    <w:uiPriority w:val="99"/>
    <w:rPr>
      <w:color w:val="0000FF"/>
      <w:u w:val="single"/>
    </w:rPr>
  </w:style>
  <w:style w:type="table" w:customStyle="1" w:styleId="24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5">
    <w:name w:val="List Paragraph"/>
    <w:basedOn w:val="1"/>
    <w:qFormat/>
    <w:uiPriority w:val="34"/>
    <w:pPr>
      <w:ind w:left="668" w:hanging="529"/>
    </w:pPr>
  </w:style>
  <w:style w:type="paragraph" w:customStyle="1" w:styleId="26">
    <w:name w:val="Table Paragraph"/>
    <w:basedOn w:val="1"/>
    <w:qFormat/>
    <w:uiPriority w:val="1"/>
    <w:pPr>
      <w:jc w:val="center"/>
    </w:pPr>
  </w:style>
  <w:style w:type="paragraph" w:customStyle="1" w:styleId="27">
    <w:name w:val="WPSOffice手动目录 1"/>
    <w:qFormat/>
    <w:uiPriority w:val="0"/>
    <w:rPr>
      <w:rFonts w:asciiTheme="minorHAnsi" w:hAnsiTheme="minorHAnsi" w:eastAsiaTheme="minorHAnsi" w:cstheme="minorBidi"/>
      <w:lang w:val="en-US" w:eastAsia="zh-CN" w:bidi="ar-SA"/>
    </w:rPr>
  </w:style>
  <w:style w:type="paragraph" w:customStyle="1" w:styleId="28">
    <w:name w:val="WPSOffice手动目录 2"/>
    <w:qFormat/>
    <w:uiPriority w:val="0"/>
    <w:pPr>
      <w:ind w:left="200" w:leftChars="200"/>
    </w:pPr>
    <w:rPr>
      <w:rFonts w:asciiTheme="minorHAnsi" w:hAnsiTheme="minorHAnsi" w:eastAsiaTheme="minorHAnsi" w:cstheme="minorBidi"/>
      <w:lang w:val="en-US" w:eastAsia="zh-CN" w:bidi="ar-SA"/>
    </w:rPr>
  </w:style>
  <w:style w:type="paragraph" w:customStyle="1" w:styleId="29">
    <w:name w:val="WPSOffice手动目录 3"/>
    <w:qFormat/>
    <w:uiPriority w:val="0"/>
    <w:pPr>
      <w:ind w:left="400" w:leftChars="400"/>
    </w:pPr>
    <w:rPr>
      <w:rFonts w:asciiTheme="minorHAnsi" w:hAnsiTheme="minorHAnsi" w:eastAsiaTheme="minorHAnsi" w:cstheme="minorBidi"/>
      <w:lang w:val="en-US" w:eastAsia="zh-CN" w:bidi="ar-SA"/>
    </w:rPr>
  </w:style>
  <w:style w:type="character" w:customStyle="1" w:styleId="30">
    <w:name w:val="标题 1 Char"/>
    <w:link w:val="2"/>
    <w:qFormat/>
    <w:uiPriority w:val="1"/>
    <w:rPr>
      <w:rFonts w:ascii="宋体" w:hAnsi="宋体" w:eastAsia="宋体" w:cs="宋体"/>
      <w:b/>
      <w:bCs/>
      <w:sz w:val="30"/>
      <w:szCs w:val="32"/>
      <w:lang w:val="zh-CN" w:bidi="zh-CN"/>
    </w:rPr>
  </w:style>
  <w:style w:type="paragraph" w:customStyle="1" w:styleId="31">
    <w:name w:val="关键词"/>
    <w:basedOn w:val="32"/>
    <w:qFormat/>
    <w:uiPriority w:val="0"/>
    <w:pPr>
      <w:tabs>
        <w:tab w:val="left" w:pos="907"/>
      </w:tabs>
    </w:pPr>
  </w:style>
  <w:style w:type="paragraph" w:customStyle="1" w:styleId="32">
    <w:name w:val="摘要"/>
    <w:basedOn w:val="1"/>
    <w:qFormat/>
    <w:uiPriority w:val="0"/>
    <w:pPr>
      <w:widowControl/>
      <w:tabs>
        <w:tab w:val="left" w:pos="907"/>
      </w:tabs>
      <w:ind w:left="879" w:hanging="879"/>
      <w:jc w:val="both"/>
    </w:pPr>
    <w:rPr>
      <w:rFonts w:ascii="Arial" w:hAnsi="Arial"/>
      <w:b/>
      <w:szCs w:val="21"/>
    </w:rPr>
  </w:style>
  <w:style w:type="paragraph" w:customStyle="1" w:styleId="33">
    <w:name w:val="表头样式 Char Char"/>
    <w:basedOn w:val="1"/>
    <w:qFormat/>
    <w:uiPriority w:val="0"/>
    <w:pPr>
      <w:jc w:val="center"/>
    </w:pPr>
    <w:rPr>
      <w:b/>
      <w:bCs/>
      <w:szCs w:val="21"/>
    </w:rPr>
  </w:style>
  <w:style w:type="paragraph" w:customStyle="1" w:styleId="34">
    <w:name w:val="表格文本 Char"/>
    <w:basedOn w:val="1"/>
    <w:qFormat/>
    <w:uiPriority w:val="0"/>
    <w:pPr>
      <w:tabs>
        <w:tab w:val="decimal" w:pos="0"/>
      </w:tabs>
    </w:pPr>
    <w:rPr>
      <w:rFonts w:ascii="Arial" w:hAnsi="Arial"/>
      <w:szCs w:val="21"/>
    </w:rPr>
  </w:style>
  <w:style w:type="paragraph" w:customStyle="1" w:styleId="35">
    <w:name w:val="表格文本"/>
    <w:basedOn w:val="1"/>
    <w:qFormat/>
    <w:uiPriority w:val="0"/>
    <w:pPr>
      <w:tabs>
        <w:tab w:val="decimal" w:pos="0"/>
      </w:tabs>
    </w:pPr>
    <w:rPr>
      <w:rFonts w:ascii="Arial" w:hAnsi="Arial"/>
      <w:szCs w:val="21"/>
    </w:rPr>
  </w:style>
  <w:style w:type="character" w:customStyle="1" w:styleId="36">
    <w:name w:val="样式 表格文本 + 宋体 倾斜 蓝色 Char Char"/>
    <w:basedOn w:val="19"/>
    <w:qFormat/>
    <w:uiPriority w:val="0"/>
    <w:rPr>
      <w:rFonts w:ascii="Arial" w:hAnsi="Arial" w:eastAsia="宋体"/>
      <w:i/>
      <w:iCs/>
      <w:color w:val="0000FF"/>
      <w:sz w:val="21"/>
      <w:szCs w:val="21"/>
      <w:lang w:val="en-US" w:eastAsia="zh-CN" w:bidi="ar-SA"/>
    </w:rPr>
  </w:style>
  <w:style w:type="paragraph" w:customStyle="1" w:styleId="37">
    <w:name w:val="缺省文本"/>
    <w:basedOn w:val="1"/>
    <w:qFormat/>
    <w:uiPriority w:val="0"/>
    <w:rPr>
      <w:rFonts w:ascii="Arial" w:hAnsi="Arial"/>
      <w:szCs w:val="21"/>
    </w:rPr>
  </w:style>
  <w:style w:type="character" w:customStyle="1" w:styleId="38">
    <w:name w:val="批注框文本 Char"/>
    <w:basedOn w:val="19"/>
    <w:link w:val="8"/>
    <w:qFormat/>
    <w:uiPriority w:val="0"/>
    <w:rPr>
      <w:rFonts w:ascii="宋体" w:hAnsi="宋体" w:eastAsia="宋体" w:cs="宋体"/>
      <w:sz w:val="18"/>
      <w:szCs w:val="18"/>
      <w:lang w:val="zh-CN" w:bidi="zh-CN"/>
    </w:rPr>
  </w:style>
  <w:style w:type="character" w:customStyle="1" w:styleId="39">
    <w:name w:val="标题 2 Char"/>
    <w:link w:val="3"/>
    <w:qFormat/>
    <w:uiPriority w:val="0"/>
    <w:rPr>
      <w:rFonts w:ascii="宋体" w:hAnsi="宋体" w:eastAsia="宋体" w:cs="宋体"/>
      <w:sz w:val="30"/>
      <w:szCs w:val="30"/>
      <w:lang w:val="zh-CN" w:bidi="zh-CN"/>
    </w:rPr>
  </w:style>
  <w:style w:type="character" w:customStyle="1" w:styleId="40">
    <w:name w:val="content-right_2s-h4"/>
    <w:basedOn w:val="19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jpe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theme" Target="theme/theme1.xml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footer" Target="footer3.xml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footer" Target="footer2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header" Target="header2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png"/><Relationship Id="rId15" Type="http://schemas.openxmlformats.org/officeDocument/2006/relationships/image" Target="media/image9.jpe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0" Type="http://schemas.openxmlformats.org/officeDocument/2006/relationships/fontTable" Target="fontTable.xml"/><Relationship Id="rId12" Type="http://schemas.openxmlformats.org/officeDocument/2006/relationships/image" Target="media/image6.png"/><Relationship Id="rId119" Type="http://schemas.openxmlformats.org/officeDocument/2006/relationships/customXml" Target="../customXml/item2.xml"/><Relationship Id="rId118" Type="http://schemas.openxmlformats.org/officeDocument/2006/relationships/numbering" Target="numbering.xml"/><Relationship Id="rId117" Type="http://schemas.openxmlformats.org/officeDocument/2006/relationships/customXml" Target="../customXml/item1.xml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jpe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E739CCA-4DDE-42F7-B3B6-AF9020C8E0D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56</Pages>
  <Words>8444</Words>
  <Characters>8702</Characters>
  <Lines>120</Lines>
  <Paragraphs>34</Paragraphs>
  <TotalTime>0</TotalTime>
  <ScaleCrop>false</ScaleCrop>
  <LinksUpToDate>false</LinksUpToDate>
  <CharactersWithSpaces>8832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2022-11-17T03:36:00Z</dcterms:created>
  <dc:creator>Jiang Bo</dc:creator>
  <cp:lastModifiedBy>董建涛</cp:lastModifiedBy>
  <dcterms:modified xsi:type="dcterms:W3CDTF">2025-04-29T08:17:52Z</dcterms:modified>
  <cp:revision>155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Creator">
    <vt:lpwstr>Microsoft® Word 适用于 Microsoft 365</vt:lpwstr>
  </property>
  <property fmtid="{D5CDD505-2E9C-101B-9397-08002B2CF9AE}" pid="4" name="LastSaved">
    <vt:filetime>2022-11-17T00:00:00Z</vt:filetime>
  </property>
  <property fmtid="{D5CDD505-2E9C-101B-9397-08002B2CF9AE}" pid="5" name="KSOProductBuildVer">
    <vt:lpwstr>2052-12.1.0.20305</vt:lpwstr>
  </property>
  <property fmtid="{D5CDD505-2E9C-101B-9397-08002B2CF9AE}" pid="6" name="ICV">
    <vt:lpwstr>C6E6967A72484E0B91B4E174C3008BDA_13</vt:lpwstr>
  </property>
  <property fmtid="{D5CDD505-2E9C-101B-9397-08002B2CF9AE}" pid="7" name="KSOTemplateDocerSaveRecord">
    <vt:lpwstr>eyJoZGlkIjoiZDE3ZjY2YmI2MDhmM2NjNDdkMGE0ZTg2NTE2ZDU5YjUiLCJ1c2VySWQiOiI0MTgyOTg3NjMifQ==</vt:lpwstr>
  </property>
</Properties>
</file>